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8CFF0" w14:textId="4A9EFE11" w:rsidR="0077445B" w:rsidRDefault="0077445B" w:rsidP="00BE48BA">
      <w:pPr>
        <w:pStyle w:val="Heading2"/>
        <w:spacing w:before="75"/>
        <w:ind w:right="0"/>
      </w:pPr>
      <w:r>
        <w:pict w14:anchorId="29615450">
          <v:shapetype id="_x0000_t202" coordsize="21600,21600" o:spt="202" path="m,l,21600r21600,l21600,xe">
            <v:stroke joinstyle="miter"/>
            <v:path gradientshapeok="t" o:connecttype="rect"/>
          </v:shapetype>
          <v:shape id="_x0000_s1036" type="#_x0000_t202" style="position:absolute;left:0;text-align:left;margin-left:474.85pt;margin-top:8.15pt;width:127.4pt;height:55.15pt;z-index:251656704;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3"/>
                  </w:tblGrid>
                  <w:tr w:rsidR="001E46A2" w14:paraId="7CFC764A" w14:textId="77777777">
                    <w:trPr>
                      <w:trHeight w:val="204"/>
                    </w:trPr>
                    <w:tc>
                      <w:tcPr>
                        <w:tcW w:w="2533" w:type="dxa"/>
                      </w:tcPr>
                      <w:p w14:paraId="0ABC830E" w14:textId="77777777" w:rsidR="001E46A2" w:rsidRDefault="00000000">
                        <w:pPr>
                          <w:pStyle w:val="TableParagraph"/>
                          <w:spacing w:line="185" w:lineRule="exact"/>
                          <w:ind w:left="505"/>
                          <w:rPr>
                            <w:sz w:val="18"/>
                          </w:rPr>
                        </w:pPr>
                        <w:r>
                          <w:rPr>
                            <w:sz w:val="18"/>
                          </w:rPr>
                          <w:t>OMB APPROVAL</w:t>
                        </w:r>
                      </w:p>
                    </w:tc>
                  </w:tr>
                  <w:tr w:rsidR="001E46A2" w14:paraId="7D1A002D" w14:textId="77777777">
                    <w:trPr>
                      <w:trHeight w:val="868"/>
                    </w:trPr>
                    <w:tc>
                      <w:tcPr>
                        <w:tcW w:w="2533" w:type="dxa"/>
                      </w:tcPr>
                      <w:p w14:paraId="7C52FCA6" w14:textId="77777777" w:rsidR="001E46A2" w:rsidRDefault="00000000">
                        <w:pPr>
                          <w:pStyle w:val="TableParagraph"/>
                          <w:tabs>
                            <w:tab w:val="right" w:pos="2461"/>
                          </w:tabs>
                          <w:spacing w:line="207" w:lineRule="exact"/>
                          <w:rPr>
                            <w:sz w:val="18"/>
                          </w:rPr>
                        </w:pPr>
                        <w:r>
                          <w:rPr>
                            <w:sz w:val="18"/>
                          </w:rPr>
                          <w:t>OMB</w:t>
                        </w:r>
                        <w:r>
                          <w:rPr>
                            <w:spacing w:val="-3"/>
                            <w:sz w:val="18"/>
                          </w:rPr>
                          <w:t xml:space="preserve"> </w:t>
                        </w:r>
                        <w:r>
                          <w:rPr>
                            <w:sz w:val="18"/>
                          </w:rPr>
                          <w:t>Number:</w:t>
                        </w:r>
                        <w:r>
                          <w:rPr>
                            <w:sz w:val="18"/>
                          </w:rPr>
                          <w:tab/>
                          <w:t>3235-0080</w:t>
                        </w:r>
                      </w:p>
                      <w:p w14:paraId="16B3719B" w14:textId="77777777" w:rsidR="001E46A2" w:rsidRDefault="00000000">
                        <w:pPr>
                          <w:pStyle w:val="TableParagraph"/>
                          <w:tabs>
                            <w:tab w:val="left" w:pos="1336"/>
                            <w:tab w:val="left" w:pos="2179"/>
                          </w:tabs>
                          <w:spacing w:before="6" w:line="210" w:lineRule="atLeast"/>
                          <w:ind w:right="26"/>
                          <w:rPr>
                            <w:sz w:val="18"/>
                          </w:rPr>
                        </w:pPr>
                        <w:r>
                          <w:rPr>
                            <w:sz w:val="18"/>
                          </w:rPr>
                          <w:t>Expires:</w:t>
                        </w:r>
                        <w:r>
                          <w:rPr>
                            <w:sz w:val="18"/>
                          </w:rPr>
                          <w:tab/>
                          <w:t xml:space="preserve">March 31, 2021 </w:t>
                        </w:r>
                        <w:r>
                          <w:rPr>
                            <w:spacing w:val="6"/>
                            <w:sz w:val="18"/>
                          </w:rPr>
                          <w:t xml:space="preserve">Estimated average </w:t>
                        </w:r>
                        <w:r>
                          <w:rPr>
                            <w:spacing w:val="7"/>
                            <w:sz w:val="18"/>
                          </w:rPr>
                          <w:t xml:space="preserve">burden </w:t>
                        </w:r>
                        <w:r>
                          <w:rPr>
                            <w:sz w:val="18"/>
                          </w:rPr>
                          <w:t>hours per response</w:t>
                        </w:r>
                        <w:r>
                          <w:rPr>
                            <w:sz w:val="18"/>
                          </w:rPr>
                          <w:tab/>
                        </w:r>
                        <w:r>
                          <w:rPr>
                            <w:spacing w:val="-5"/>
                            <w:sz w:val="18"/>
                          </w:rPr>
                          <w:t>1.00</w:t>
                        </w:r>
                      </w:p>
                    </w:tc>
                  </w:tr>
                </w:tbl>
                <w:p w14:paraId="6985B961" w14:textId="77777777" w:rsidR="001E46A2" w:rsidRDefault="001E46A2">
                  <w:pPr>
                    <w:pStyle w:val="BodyText"/>
                  </w:pPr>
                </w:p>
              </w:txbxContent>
            </v:textbox>
            <w10:wrap anchorx="page"/>
          </v:shape>
        </w:pict>
      </w:r>
    </w:p>
    <w:p w14:paraId="1E1DF3F4" w14:textId="77777777" w:rsidR="0077445B" w:rsidRDefault="0077445B" w:rsidP="00BE48BA">
      <w:pPr>
        <w:pStyle w:val="Heading2"/>
        <w:spacing w:before="75"/>
        <w:ind w:right="0"/>
      </w:pPr>
    </w:p>
    <w:p w14:paraId="1D9FE9E1" w14:textId="0AA081C4" w:rsidR="001E46A2" w:rsidRDefault="00000000" w:rsidP="00BE48BA">
      <w:pPr>
        <w:pStyle w:val="Heading2"/>
        <w:spacing w:before="75"/>
        <w:ind w:right="0"/>
      </w:pPr>
      <w:r>
        <w:t>UNITEDSTATES</w:t>
      </w:r>
    </w:p>
    <w:p w14:paraId="1ADC20ED" w14:textId="77777777" w:rsidR="001E46A2" w:rsidRDefault="00000000" w:rsidP="00BE48BA">
      <w:pPr>
        <w:spacing w:before="10"/>
        <w:ind w:left="1714"/>
        <w:jc w:val="center"/>
        <w:rPr>
          <w:b/>
          <w:sz w:val="20"/>
        </w:rPr>
      </w:pPr>
      <w:r>
        <w:rPr>
          <w:b/>
          <w:sz w:val="20"/>
        </w:rPr>
        <w:t>SECURITIESANDEXCHANGECOMMISSION</w:t>
      </w:r>
    </w:p>
    <w:p w14:paraId="09E7E2D1" w14:textId="77777777" w:rsidR="001E46A2" w:rsidRDefault="00000000" w:rsidP="00BE48BA">
      <w:pPr>
        <w:spacing w:before="10"/>
        <w:ind w:left="1714"/>
        <w:jc w:val="center"/>
        <w:rPr>
          <w:b/>
          <w:sz w:val="20"/>
        </w:rPr>
      </w:pPr>
      <w:r>
        <w:rPr>
          <w:b/>
          <w:sz w:val="20"/>
        </w:rPr>
        <w:t>Washington, D. C. 20549</w:t>
      </w:r>
    </w:p>
    <w:p w14:paraId="1FF520AD" w14:textId="77777777" w:rsidR="001E46A2" w:rsidRDefault="001E46A2" w:rsidP="00BE48BA">
      <w:pPr>
        <w:pStyle w:val="BodyText"/>
        <w:spacing w:before="10"/>
        <w:rPr>
          <w:b/>
        </w:rPr>
      </w:pPr>
    </w:p>
    <w:p w14:paraId="19F361E5" w14:textId="77777777" w:rsidR="001E46A2" w:rsidRDefault="00000000" w:rsidP="00BE48BA">
      <w:pPr>
        <w:ind w:left="1714"/>
        <w:jc w:val="center"/>
        <w:rPr>
          <w:b/>
          <w:sz w:val="28"/>
        </w:rPr>
      </w:pPr>
      <w:r>
        <w:rPr>
          <w:b/>
          <w:sz w:val="28"/>
        </w:rPr>
        <w:t>FORM 25</w:t>
      </w:r>
    </w:p>
    <w:p w14:paraId="28FF47E3" w14:textId="77777777" w:rsidR="001E46A2" w:rsidRDefault="001E46A2" w:rsidP="00BE48BA">
      <w:pPr>
        <w:pStyle w:val="BodyText"/>
        <w:spacing w:before="1"/>
        <w:rPr>
          <w:b/>
          <w:sz w:val="23"/>
        </w:rPr>
      </w:pPr>
    </w:p>
    <w:p w14:paraId="6475A40F" w14:textId="77777777" w:rsidR="001E46A2" w:rsidRDefault="00000000" w:rsidP="00BE48BA">
      <w:pPr>
        <w:pStyle w:val="Heading1"/>
        <w:spacing w:before="90" w:line="249" w:lineRule="auto"/>
        <w:ind w:right="0"/>
      </w:pPr>
      <w:r>
        <w:t>NOTIFICATION OF REMOVAL FROM LISTING AND/OR REGISTRATION UNDER SECTION 12(b) OF THE</w:t>
      </w:r>
    </w:p>
    <w:p w14:paraId="1023B010" w14:textId="77777777" w:rsidR="001E46A2" w:rsidRDefault="00000000" w:rsidP="00BE48BA">
      <w:pPr>
        <w:spacing w:before="2"/>
        <w:ind w:left="1672"/>
        <w:jc w:val="center"/>
        <w:rPr>
          <w:b/>
          <w:sz w:val="24"/>
        </w:rPr>
      </w:pPr>
      <w:r>
        <w:rPr>
          <w:b/>
          <w:sz w:val="24"/>
        </w:rPr>
        <w:t>SECURITIES EXCHANGE ACT OF 1934.</w:t>
      </w:r>
    </w:p>
    <w:p w14:paraId="44261CC5" w14:textId="77777777" w:rsidR="001E46A2" w:rsidRDefault="001E46A2" w:rsidP="00BE48BA">
      <w:pPr>
        <w:pStyle w:val="BodyText"/>
        <w:spacing w:before="3"/>
        <w:rPr>
          <w:b/>
          <w:sz w:val="22"/>
        </w:rPr>
      </w:pPr>
    </w:p>
    <w:p w14:paraId="052A8BEF" w14:textId="77777777" w:rsidR="001E46A2" w:rsidRDefault="00000000" w:rsidP="00BE48BA">
      <w:pPr>
        <w:pStyle w:val="BodyText"/>
        <w:tabs>
          <w:tab w:val="left" w:pos="10734"/>
        </w:tabs>
        <w:ind w:left="7091"/>
      </w:pPr>
      <w:r>
        <w:t>Commission File</w:t>
      </w:r>
      <w:r>
        <w:rPr>
          <w:spacing w:val="-40"/>
        </w:rPr>
        <w:t xml:space="preserve"> </w:t>
      </w:r>
      <w:r>
        <w:t>Number</w:t>
      </w:r>
      <w:r>
        <w:rPr>
          <w:spacing w:val="13"/>
        </w:rPr>
        <w:t xml:space="preserve"> </w:t>
      </w:r>
      <w:r>
        <w:rPr>
          <w:w w:val="225"/>
          <w:u w:val="single"/>
        </w:rPr>
        <w:t xml:space="preserve"> </w:t>
      </w:r>
      <w:r>
        <w:rPr>
          <w:u w:val="single"/>
        </w:rPr>
        <w:tab/>
      </w:r>
    </w:p>
    <w:p w14:paraId="4C47058C" w14:textId="77777777" w:rsidR="001E46A2" w:rsidRDefault="001E46A2" w:rsidP="00BE48BA">
      <w:pPr>
        <w:pStyle w:val="BodyText"/>
      </w:pPr>
    </w:p>
    <w:p w14:paraId="5BACAEC3" w14:textId="77777777" w:rsidR="001E46A2" w:rsidRDefault="00000000" w:rsidP="00BE48BA">
      <w:pPr>
        <w:pStyle w:val="BodyText"/>
        <w:spacing w:before="6"/>
        <w:rPr>
          <w:sz w:val="28"/>
        </w:rPr>
      </w:pPr>
      <w:r>
        <w:pict w14:anchorId="15EC4DDE">
          <v:line id="_x0000_s1035" style="position:absolute;z-index:-251656704;mso-wrap-distance-left:0;mso-wrap-distance-right:0;mso-position-horizontal-relative:page" from="59.9pt,18.65pt" to="566.15pt,18.65pt" strokeweight=".48pt">
            <w10:wrap type="topAndBottom" anchorx="page"/>
          </v:line>
        </w:pict>
      </w:r>
    </w:p>
    <w:p w14:paraId="0AB9660E" w14:textId="77777777" w:rsidR="001E46A2" w:rsidRDefault="00000000" w:rsidP="00BE48BA">
      <w:pPr>
        <w:ind w:left="1714"/>
        <w:jc w:val="center"/>
        <w:rPr>
          <w:sz w:val="16"/>
        </w:rPr>
      </w:pPr>
      <w:r>
        <w:rPr>
          <w:sz w:val="16"/>
        </w:rPr>
        <w:t>(Exact</w:t>
      </w:r>
      <w:r>
        <w:rPr>
          <w:spacing w:val="-6"/>
          <w:sz w:val="16"/>
        </w:rPr>
        <w:t xml:space="preserve"> </w:t>
      </w:r>
      <w:r>
        <w:rPr>
          <w:sz w:val="16"/>
        </w:rPr>
        <w:t>name</w:t>
      </w:r>
      <w:r>
        <w:rPr>
          <w:spacing w:val="-5"/>
          <w:sz w:val="16"/>
        </w:rPr>
        <w:t xml:space="preserve"> </w:t>
      </w:r>
      <w:r>
        <w:rPr>
          <w:sz w:val="16"/>
        </w:rPr>
        <w:t>of</w:t>
      </w:r>
      <w:r>
        <w:rPr>
          <w:spacing w:val="-6"/>
          <w:sz w:val="16"/>
        </w:rPr>
        <w:t xml:space="preserve"> </w:t>
      </w:r>
      <w:r>
        <w:rPr>
          <w:sz w:val="16"/>
        </w:rPr>
        <w:t>Issuer</w:t>
      </w:r>
      <w:r>
        <w:rPr>
          <w:spacing w:val="-5"/>
          <w:sz w:val="16"/>
        </w:rPr>
        <w:t xml:space="preserve"> </w:t>
      </w:r>
      <w:r>
        <w:rPr>
          <w:sz w:val="16"/>
        </w:rPr>
        <w:t>as</w:t>
      </w:r>
      <w:r>
        <w:rPr>
          <w:spacing w:val="-5"/>
          <w:sz w:val="16"/>
        </w:rPr>
        <w:t xml:space="preserve"> </w:t>
      </w:r>
      <w:r>
        <w:rPr>
          <w:sz w:val="16"/>
        </w:rPr>
        <w:t>specified</w:t>
      </w:r>
      <w:r>
        <w:rPr>
          <w:spacing w:val="-6"/>
          <w:sz w:val="16"/>
        </w:rPr>
        <w:t xml:space="preserve"> </w:t>
      </w:r>
      <w:r>
        <w:rPr>
          <w:sz w:val="16"/>
        </w:rPr>
        <w:t>in</w:t>
      </w:r>
      <w:r>
        <w:rPr>
          <w:spacing w:val="-5"/>
          <w:sz w:val="16"/>
        </w:rPr>
        <w:t xml:space="preserve"> </w:t>
      </w:r>
      <w:r>
        <w:rPr>
          <w:sz w:val="16"/>
        </w:rPr>
        <w:t>its</w:t>
      </w:r>
      <w:r>
        <w:rPr>
          <w:spacing w:val="-6"/>
          <w:sz w:val="16"/>
        </w:rPr>
        <w:t xml:space="preserve"> </w:t>
      </w:r>
      <w:r>
        <w:rPr>
          <w:sz w:val="16"/>
        </w:rPr>
        <w:t>charter,</w:t>
      </w:r>
      <w:r>
        <w:rPr>
          <w:spacing w:val="-5"/>
          <w:sz w:val="16"/>
        </w:rPr>
        <w:t xml:space="preserve"> </w:t>
      </w:r>
      <w:r>
        <w:rPr>
          <w:sz w:val="16"/>
        </w:rPr>
        <w:t>and</w:t>
      </w:r>
      <w:r>
        <w:rPr>
          <w:spacing w:val="-5"/>
          <w:sz w:val="16"/>
        </w:rPr>
        <w:t xml:space="preserve"> </w:t>
      </w:r>
      <w:r>
        <w:rPr>
          <w:sz w:val="16"/>
        </w:rPr>
        <w:t>name</w:t>
      </w:r>
      <w:r>
        <w:rPr>
          <w:spacing w:val="-6"/>
          <w:sz w:val="16"/>
        </w:rPr>
        <w:t xml:space="preserve"> </w:t>
      </w:r>
      <w:r>
        <w:rPr>
          <w:sz w:val="16"/>
        </w:rPr>
        <w:t>of</w:t>
      </w:r>
      <w:r>
        <w:rPr>
          <w:spacing w:val="-5"/>
          <w:sz w:val="16"/>
        </w:rPr>
        <w:t xml:space="preserve"> </w:t>
      </w:r>
      <w:r>
        <w:rPr>
          <w:sz w:val="16"/>
        </w:rPr>
        <w:t>Exchange</w:t>
      </w:r>
      <w:r>
        <w:rPr>
          <w:spacing w:val="-6"/>
          <w:sz w:val="16"/>
        </w:rPr>
        <w:t xml:space="preserve"> </w:t>
      </w:r>
      <w:r>
        <w:rPr>
          <w:sz w:val="16"/>
        </w:rPr>
        <w:t>where</w:t>
      </w:r>
      <w:r>
        <w:rPr>
          <w:spacing w:val="-5"/>
          <w:sz w:val="16"/>
        </w:rPr>
        <w:t xml:space="preserve"> </w:t>
      </w:r>
      <w:r>
        <w:rPr>
          <w:sz w:val="16"/>
        </w:rPr>
        <w:t>security</w:t>
      </w:r>
      <w:r>
        <w:rPr>
          <w:spacing w:val="-5"/>
          <w:sz w:val="16"/>
        </w:rPr>
        <w:t xml:space="preserve"> </w:t>
      </w:r>
      <w:r>
        <w:rPr>
          <w:sz w:val="16"/>
        </w:rPr>
        <w:t>is</w:t>
      </w:r>
      <w:r>
        <w:rPr>
          <w:spacing w:val="-6"/>
          <w:sz w:val="16"/>
        </w:rPr>
        <w:t xml:space="preserve"> </w:t>
      </w:r>
      <w:r>
        <w:rPr>
          <w:sz w:val="16"/>
        </w:rPr>
        <w:t>listed</w:t>
      </w:r>
      <w:r>
        <w:rPr>
          <w:spacing w:val="-5"/>
          <w:sz w:val="16"/>
        </w:rPr>
        <w:t xml:space="preserve"> </w:t>
      </w:r>
      <w:r>
        <w:rPr>
          <w:sz w:val="16"/>
        </w:rPr>
        <w:t>and/or</w:t>
      </w:r>
      <w:r>
        <w:rPr>
          <w:spacing w:val="-5"/>
          <w:sz w:val="16"/>
        </w:rPr>
        <w:t xml:space="preserve"> </w:t>
      </w:r>
      <w:r>
        <w:rPr>
          <w:sz w:val="16"/>
        </w:rPr>
        <w:t>registered)</w:t>
      </w:r>
    </w:p>
    <w:p w14:paraId="058CDA31" w14:textId="77777777" w:rsidR="001E46A2" w:rsidRDefault="001E46A2" w:rsidP="00BE48BA">
      <w:pPr>
        <w:pStyle w:val="BodyText"/>
      </w:pPr>
    </w:p>
    <w:p w14:paraId="079B38A2" w14:textId="77777777" w:rsidR="001E46A2" w:rsidRDefault="00000000" w:rsidP="00BE48BA">
      <w:pPr>
        <w:pStyle w:val="BodyText"/>
        <w:spacing w:before="8"/>
        <w:rPr>
          <w:sz w:val="19"/>
        </w:rPr>
      </w:pPr>
      <w:r>
        <w:pict w14:anchorId="2573F818">
          <v:line id="_x0000_s1034" style="position:absolute;z-index:-251655680;mso-wrap-distance-left:0;mso-wrap-distance-right:0;mso-position-horizontal-relative:page" from="59.9pt,13.55pt" to="566.15pt,13.55pt" strokeweight=".48pt">
            <w10:wrap type="topAndBottom" anchorx="page"/>
          </v:line>
        </w:pict>
      </w:r>
    </w:p>
    <w:p w14:paraId="68D8667B" w14:textId="77777777" w:rsidR="001E46A2" w:rsidRDefault="00000000" w:rsidP="00BE48BA">
      <w:pPr>
        <w:ind w:left="1676"/>
        <w:jc w:val="center"/>
        <w:rPr>
          <w:sz w:val="16"/>
        </w:rPr>
      </w:pPr>
      <w:r>
        <w:rPr>
          <w:sz w:val="16"/>
        </w:rPr>
        <w:t>(Address,</w:t>
      </w:r>
      <w:r>
        <w:rPr>
          <w:spacing w:val="-8"/>
          <w:sz w:val="16"/>
        </w:rPr>
        <w:t xml:space="preserve"> </w:t>
      </w:r>
      <w:r>
        <w:rPr>
          <w:sz w:val="16"/>
        </w:rPr>
        <w:t>including</w:t>
      </w:r>
      <w:r>
        <w:rPr>
          <w:spacing w:val="-7"/>
          <w:sz w:val="16"/>
        </w:rPr>
        <w:t xml:space="preserve"> </w:t>
      </w:r>
      <w:r>
        <w:rPr>
          <w:sz w:val="16"/>
        </w:rPr>
        <w:t>zip</w:t>
      </w:r>
      <w:r>
        <w:rPr>
          <w:spacing w:val="-7"/>
          <w:sz w:val="16"/>
        </w:rPr>
        <w:t xml:space="preserve"> </w:t>
      </w:r>
      <w:r>
        <w:rPr>
          <w:sz w:val="16"/>
        </w:rPr>
        <w:t>code,</w:t>
      </w:r>
      <w:r>
        <w:rPr>
          <w:spacing w:val="-7"/>
          <w:sz w:val="16"/>
        </w:rPr>
        <w:t xml:space="preserve"> </w:t>
      </w:r>
      <w:r>
        <w:rPr>
          <w:sz w:val="16"/>
        </w:rPr>
        <w:t>and</w:t>
      </w:r>
      <w:r>
        <w:rPr>
          <w:spacing w:val="-7"/>
          <w:sz w:val="16"/>
        </w:rPr>
        <w:t xml:space="preserve"> </w:t>
      </w:r>
      <w:r>
        <w:rPr>
          <w:sz w:val="16"/>
        </w:rPr>
        <w:t>telephone</w:t>
      </w:r>
      <w:r>
        <w:rPr>
          <w:spacing w:val="-7"/>
          <w:sz w:val="16"/>
        </w:rPr>
        <w:t xml:space="preserve"> </w:t>
      </w:r>
      <w:r>
        <w:rPr>
          <w:sz w:val="16"/>
        </w:rPr>
        <w:t>number,</w:t>
      </w:r>
      <w:r>
        <w:rPr>
          <w:spacing w:val="-7"/>
          <w:sz w:val="16"/>
        </w:rPr>
        <w:t xml:space="preserve"> </w:t>
      </w:r>
      <w:r>
        <w:rPr>
          <w:sz w:val="16"/>
        </w:rPr>
        <w:t>including</w:t>
      </w:r>
      <w:r>
        <w:rPr>
          <w:spacing w:val="-7"/>
          <w:sz w:val="16"/>
        </w:rPr>
        <w:t xml:space="preserve"> </w:t>
      </w:r>
      <w:r>
        <w:rPr>
          <w:sz w:val="16"/>
        </w:rPr>
        <w:t>area</w:t>
      </w:r>
      <w:r>
        <w:rPr>
          <w:spacing w:val="-7"/>
          <w:sz w:val="16"/>
        </w:rPr>
        <w:t xml:space="preserve"> </w:t>
      </w:r>
      <w:r>
        <w:rPr>
          <w:sz w:val="16"/>
        </w:rPr>
        <w:t>code,</w:t>
      </w:r>
      <w:r>
        <w:rPr>
          <w:spacing w:val="-7"/>
          <w:sz w:val="16"/>
        </w:rPr>
        <w:t xml:space="preserve"> </w:t>
      </w:r>
      <w:r>
        <w:rPr>
          <w:sz w:val="16"/>
        </w:rPr>
        <w:t>of</w:t>
      </w:r>
      <w:r>
        <w:rPr>
          <w:spacing w:val="-7"/>
          <w:sz w:val="16"/>
        </w:rPr>
        <w:t xml:space="preserve"> </w:t>
      </w:r>
      <w:r>
        <w:rPr>
          <w:sz w:val="16"/>
        </w:rPr>
        <w:t>Issuer’s</w:t>
      </w:r>
      <w:r>
        <w:rPr>
          <w:spacing w:val="-7"/>
          <w:sz w:val="16"/>
        </w:rPr>
        <w:t xml:space="preserve"> </w:t>
      </w:r>
      <w:r>
        <w:rPr>
          <w:sz w:val="16"/>
        </w:rPr>
        <w:t>principal</w:t>
      </w:r>
      <w:r>
        <w:rPr>
          <w:spacing w:val="-7"/>
          <w:sz w:val="16"/>
        </w:rPr>
        <w:t xml:space="preserve"> </w:t>
      </w:r>
      <w:r>
        <w:rPr>
          <w:sz w:val="16"/>
        </w:rPr>
        <w:t>executive</w:t>
      </w:r>
      <w:r>
        <w:rPr>
          <w:spacing w:val="-7"/>
          <w:sz w:val="16"/>
        </w:rPr>
        <w:t xml:space="preserve"> </w:t>
      </w:r>
      <w:r>
        <w:rPr>
          <w:sz w:val="16"/>
        </w:rPr>
        <w:t>offices)</w:t>
      </w:r>
    </w:p>
    <w:p w14:paraId="50E06F66" w14:textId="77777777" w:rsidR="001E46A2" w:rsidRDefault="001E46A2" w:rsidP="00BE48BA">
      <w:pPr>
        <w:pStyle w:val="BodyText"/>
      </w:pPr>
    </w:p>
    <w:p w14:paraId="4D1E796A" w14:textId="77777777" w:rsidR="001E46A2" w:rsidRDefault="00000000" w:rsidP="00BE48BA">
      <w:pPr>
        <w:pStyle w:val="BodyText"/>
        <w:spacing w:before="5"/>
        <w:rPr>
          <w:sz w:val="28"/>
        </w:rPr>
      </w:pPr>
      <w:r>
        <w:pict w14:anchorId="6D017E44">
          <v:line id="_x0000_s1033" style="position:absolute;z-index:-251654656;mso-wrap-distance-left:0;mso-wrap-distance-right:0;mso-position-horizontal-relative:page" from="60.7pt,18.55pt" to="567pt,18.55pt" strokeweight=".48pt">
            <w10:wrap type="topAndBottom" anchorx="page"/>
          </v:line>
        </w:pict>
      </w:r>
    </w:p>
    <w:p w14:paraId="2524BDC9" w14:textId="77777777" w:rsidR="001E46A2" w:rsidRDefault="00000000" w:rsidP="00BE48BA">
      <w:pPr>
        <w:spacing w:before="44"/>
        <w:ind w:left="1557"/>
        <w:jc w:val="center"/>
        <w:rPr>
          <w:sz w:val="16"/>
        </w:rPr>
      </w:pPr>
      <w:r>
        <w:rPr>
          <w:sz w:val="16"/>
        </w:rPr>
        <w:t>(Description of class of securities)</w:t>
      </w:r>
    </w:p>
    <w:p w14:paraId="0D919F8A" w14:textId="77777777" w:rsidR="001E46A2" w:rsidRDefault="001E46A2" w:rsidP="00BE48BA">
      <w:pPr>
        <w:pStyle w:val="BodyText"/>
        <w:rPr>
          <w:sz w:val="18"/>
        </w:rPr>
      </w:pPr>
    </w:p>
    <w:p w14:paraId="26A22A9B" w14:textId="77777777" w:rsidR="001E46A2" w:rsidRDefault="001E46A2" w:rsidP="00BE48BA">
      <w:pPr>
        <w:pStyle w:val="BodyText"/>
        <w:spacing w:before="4"/>
        <w:rPr>
          <w:sz w:val="25"/>
        </w:rPr>
      </w:pPr>
    </w:p>
    <w:p w14:paraId="36493C00" w14:textId="77777777" w:rsidR="001E46A2" w:rsidRDefault="00000000" w:rsidP="00BE48BA">
      <w:pPr>
        <w:pStyle w:val="BodyText"/>
        <w:spacing w:before="1" w:line="249" w:lineRule="auto"/>
        <w:ind w:left="251"/>
      </w:pPr>
      <w:r>
        <w:t>Please place an X in the box to designate the rule provision relied upon to strike the class of securities from listing and registration:</w:t>
      </w:r>
    </w:p>
    <w:p w14:paraId="328F8E9D" w14:textId="77777777" w:rsidR="001E46A2" w:rsidRDefault="001E46A2" w:rsidP="00BE48BA">
      <w:pPr>
        <w:pStyle w:val="BodyText"/>
        <w:spacing w:before="3"/>
        <w:rPr>
          <w:sz w:val="14"/>
        </w:rPr>
      </w:pPr>
    </w:p>
    <w:p w14:paraId="485EE2DE" w14:textId="77777777" w:rsidR="001E46A2" w:rsidRDefault="00000000" w:rsidP="00BE48BA">
      <w:pPr>
        <w:pStyle w:val="BodyText"/>
        <w:spacing w:before="92"/>
        <w:ind w:left="540"/>
      </w:pPr>
      <w:r>
        <w:pict w14:anchorId="6D55F6D4">
          <v:rect id="_x0000_s1032" style="position:absolute;left:0;text-align:left;margin-left:40.75pt;margin-top:6.7pt;width:10.75pt;height:10.75pt;z-index:251652608;mso-position-horizontal-relative:page" filled="f" strokeweight=".48pt">
            <w10:wrap anchorx="page"/>
          </v:rect>
        </w:pict>
      </w:r>
      <w:r>
        <w:t xml:space="preserve">17 </w:t>
      </w:r>
      <w:r>
        <w:rPr>
          <w:spacing w:val="-3"/>
        </w:rPr>
        <w:t>CFR</w:t>
      </w:r>
      <w:r>
        <w:rPr>
          <w:spacing w:val="-17"/>
        </w:rPr>
        <w:t xml:space="preserve"> </w:t>
      </w:r>
      <w:r>
        <w:rPr>
          <w:spacing w:val="-4"/>
        </w:rPr>
        <w:t>240.12d2-2(a)(1)</w:t>
      </w:r>
    </w:p>
    <w:p w14:paraId="7B324393" w14:textId="77777777" w:rsidR="001E46A2" w:rsidRDefault="001E46A2" w:rsidP="00BE48BA">
      <w:pPr>
        <w:pStyle w:val="BodyText"/>
        <w:spacing w:before="5"/>
        <w:rPr>
          <w:sz w:val="24"/>
        </w:rPr>
      </w:pPr>
    </w:p>
    <w:p w14:paraId="525751F1" w14:textId="77777777" w:rsidR="001E46A2" w:rsidRDefault="00000000" w:rsidP="00BE48BA">
      <w:pPr>
        <w:pStyle w:val="BodyText"/>
        <w:ind w:left="540"/>
      </w:pPr>
      <w:r>
        <w:pict w14:anchorId="15EB143C">
          <v:rect id="_x0000_s1031" style="position:absolute;left:0;text-align:left;margin-left:40.75pt;margin-top:2.1pt;width:10.75pt;height:10.75pt;z-index:251653632;mso-position-horizontal-relative:page" filled="f" strokeweight=".48pt">
            <w10:wrap anchorx="page"/>
          </v:rect>
        </w:pict>
      </w:r>
      <w:r>
        <w:t xml:space="preserve">17 </w:t>
      </w:r>
      <w:r>
        <w:rPr>
          <w:spacing w:val="-3"/>
        </w:rPr>
        <w:t>CFR</w:t>
      </w:r>
      <w:r>
        <w:rPr>
          <w:spacing w:val="-17"/>
        </w:rPr>
        <w:t xml:space="preserve"> </w:t>
      </w:r>
      <w:r>
        <w:rPr>
          <w:spacing w:val="-4"/>
        </w:rPr>
        <w:t>240.12d2-2(a)(2)</w:t>
      </w:r>
    </w:p>
    <w:p w14:paraId="7AEF67FC" w14:textId="77777777" w:rsidR="001E46A2" w:rsidRDefault="001E46A2" w:rsidP="00BE48BA">
      <w:pPr>
        <w:pStyle w:val="BodyText"/>
        <w:spacing w:before="7"/>
        <w:rPr>
          <w:sz w:val="24"/>
        </w:rPr>
      </w:pPr>
    </w:p>
    <w:p w14:paraId="4D751BCB" w14:textId="77777777" w:rsidR="001E46A2" w:rsidRDefault="00000000" w:rsidP="00BE48BA">
      <w:pPr>
        <w:pStyle w:val="BodyText"/>
        <w:ind w:left="565"/>
      </w:pPr>
      <w:r>
        <w:pict w14:anchorId="767406F4">
          <v:rect id="_x0000_s1030" style="position:absolute;left:0;text-align:left;margin-left:40.75pt;margin-top:2.05pt;width:10.75pt;height:10.75pt;z-index:251654656;mso-position-horizontal-relative:page" filled="f" strokeweight=".48pt">
            <w10:wrap anchorx="page"/>
          </v:rect>
        </w:pict>
      </w:r>
      <w:r>
        <w:t>17 CFR 240.12d2-2(a)(3)</w:t>
      </w:r>
    </w:p>
    <w:p w14:paraId="20B80E4B" w14:textId="77777777" w:rsidR="001E46A2" w:rsidRDefault="001E46A2" w:rsidP="00BE48BA">
      <w:pPr>
        <w:pStyle w:val="BodyText"/>
        <w:spacing w:before="6"/>
        <w:rPr>
          <w:sz w:val="24"/>
        </w:rPr>
      </w:pPr>
    </w:p>
    <w:p w14:paraId="50091B07" w14:textId="77777777" w:rsidR="001E46A2" w:rsidRDefault="00000000" w:rsidP="00BE48BA">
      <w:pPr>
        <w:pStyle w:val="BodyText"/>
        <w:ind w:left="593"/>
      </w:pPr>
      <w:r>
        <w:pict w14:anchorId="5C3BB194">
          <v:rect id="_x0000_s1029" style="position:absolute;left:0;text-align:left;margin-left:40.75pt;margin-top:2.1pt;width:10.75pt;height:10.75pt;z-index:251655680;mso-position-horizontal-relative:page" filled="f" strokeweight=".48pt">
            <w10:wrap anchorx="page"/>
          </v:rect>
        </w:pict>
      </w:r>
      <w:r>
        <w:t>17 CFR 240.12d2-2(a)(4)</w:t>
      </w:r>
    </w:p>
    <w:p w14:paraId="085EB5D6" w14:textId="77777777" w:rsidR="001E46A2" w:rsidRDefault="001E46A2" w:rsidP="00BE48BA">
      <w:pPr>
        <w:pStyle w:val="BodyText"/>
        <w:rPr>
          <w:sz w:val="22"/>
        </w:rPr>
      </w:pPr>
    </w:p>
    <w:p w14:paraId="34728180" w14:textId="77777777" w:rsidR="001E46A2" w:rsidRDefault="001E46A2" w:rsidP="00BE48BA">
      <w:pPr>
        <w:pStyle w:val="BodyText"/>
        <w:spacing w:before="3"/>
        <w:rPr>
          <w:sz w:val="23"/>
        </w:rPr>
      </w:pPr>
    </w:p>
    <w:p w14:paraId="27DECC2A" w14:textId="1FFD7867" w:rsidR="001E46A2" w:rsidRDefault="00000000" w:rsidP="00BE48BA">
      <w:pPr>
        <w:pStyle w:val="BodyText"/>
        <w:spacing w:line="271" w:lineRule="auto"/>
        <w:ind w:left="250" w:firstLine="475"/>
        <w:rPr>
          <w:sz w:val="13"/>
        </w:rPr>
      </w:pPr>
      <w:r>
        <w:pict w14:anchorId="79186D2E">
          <v:rect id="_x0000_s1028" style="position:absolute;left:0;text-align:left;margin-left:40.75pt;margin-top:2.1pt;width:10.75pt;height:10.75pt;z-index:-251658752;mso-position-horizontal-relative:page" filled="f" strokeweight=".48pt">
            <w10:wrap anchorx="page"/>
          </v:rect>
        </w:pict>
      </w:r>
      <w:r>
        <w:t xml:space="preserve">Pursuant to 17 CFR 240.12d2-2(b), the Exchange has complied with its rules to strike the class of securities from </w:t>
      </w:r>
      <w:r w:rsidR="00642DDB">
        <w:t>listing and</w:t>
      </w:r>
      <w:r>
        <w:rPr>
          <w:spacing w:val="-13"/>
        </w:rPr>
        <w:t xml:space="preserve">/or </w:t>
      </w:r>
      <w:r>
        <w:t xml:space="preserve">withdraw registration on the </w:t>
      </w:r>
      <w:r>
        <w:rPr>
          <w:spacing w:val="-5"/>
        </w:rPr>
        <w:t>Exchange.</w:t>
      </w:r>
      <w:r>
        <w:rPr>
          <w:spacing w:val="-5"/>
          <w:sz w:val="13"/>
        </w:rPr>
        <w:t>1</w:t>
      </w:r>
    </w:p>
    <w:p w14:paraId="294B37BC" w14:textId="77777777" w:rsidR="001E46A2" w:rsidRDefault="001E46A2" w:rsidP="00BE48BA">
      <w:pPr>
        <w:pStyle w:val="BodyText"/>
        <w:spacing w:before="5"/>
        <w:rPr>
          <w:sz w:val="12"/>
        </w:rPr>
      </w:pPr>
    </w:p>
    <w:p w14:paraId="45A5DDEB" w14:textId="77777777" w:rsidR="001E46A2" w:rsidRDefault="00000000" w:rsidP="00BE48BA">
      <w:pPr>
        <w:pStyle w:val="BodyText"/>
        <w:spacing w:before="91" w:line="268" w:lineRule="auto"/>
        <w:ind w:left="251" w:firstLine="511"/>
      </w:pPr>
      <w:r>
        <w:pict w14:anchorId="39216590">
          <v:rect id="_x0000_s1027" style="position:absolute;left:0;text-align:left;margin-left:40.75pt;margin-top:6.6pt;width:10.75pt;height:10.75pt;z-index:-251657728;mso-position-horizontal-relative:page" filled="f" strokeweight=".48pt">
            <w10:wrap anchorx="page"/>
          </v:rect>
        </w:pict>
      </w:r>
      <w:r>
        <w:t>Pursuant to 17 CFR 240.12d2-2(c), the Issuer has complied with the rules of the Exchange and the requirements of 17 CFR 240.12d2-2(c) governing the voluntary withdrawal of the class of securities from listing and registration on the Exchange.</w:t>
      </w:r>
    </w:p>
    <w:p w14:paraId="073F6A2C" w14:textId="77777777" w:rsidR="001E46A2" w:rsidRDefault="001E46A2" w:rsidP="00BE48BA">
      <w:pPr>
        <w:pStyle w:val="BodyText"/>
        <w:rPr>
          <w:sz w:val="22"/>
        </w:rPr>
      </w:pPr>
    </w:p>
    <w:p w14:paraId="26D8DFBF" w14:textId="77777777" w:rsidR="001E46A2" w:rsidRDefault="001E46A2" w:rsidP="00BE48BA">
      <w:pPr>
        <w:pStyle w:val="BodyText"/>
        <w:spacing w:before="2"/>
        <w:rPr>
          <w:sz w:val="18"/>
        </w:rPr>
      </w:pPr>
    </w:p>
    <w:p w14:paraId="690C59FB" w14:textId="0E8E5634" w:rsidR="001E46A2" w:rsidRDefault="00000000" w:rsidP="00BE48BA">
      <w:pPr>
        <w:pStyle w:val="BodyText"/>
        <w:tabs>
          <w:tab w:val="left" w:pos="7743"/>
        </w:tabs>
        <w:spacing w:line="249" w:lineRule="auto"/>
        <w:ind w:left="251"/>
        <w:jc w:val="both"/>
      </w:pPr>
      <w:r>
        <w:t>Pursuant to the requirements of the Securities Exchange Act of 1934,</w:t>
      </w:r>
      <w:r>
        <w:rPr>
          <w:u w:val="single"/>
        </w:rPr>
        <w:t xml:space="preserve"> </w:t>
      </w:r>
      <w:r>
        <w:rPr>
          <w:u w:val="single"/>
        </w:rPr>
        <w:tab/>
      </w:r>
      <w:r>
        <w:t xml:space="preserve">(Name of Issuer or Exchange) certifies that it has reasonable grounds to believe that it meets all of the requirements for filing the Form 25 and has caused this </w:t>
      </w:r>
      <w:r w:rsidR="00531B9C">
        <w:rPr>
          <w:spacing w:val="-7"/>
        </w:rPr>
        <w:t>notification</w:t>
      </w:r>
      <w:r>
        <w:rPr>
          <w:spacing w:val="-7"/>
        </w:rPr>
        <w:t xml:space="preserve"> </w:t>
      </w:r>
      <w:r>
        <w:t>to be signed on its behalf by the undersigned duly authorized person.</w:t>
      </w:r>
    </w:p>
    <w:p w14:paraId="19E4E9D9" w14:textId="77777777" w:rsidR="001E46A2" w:rsidRDefault="001E46A2" w:rsidP="00BE48BA">
      <w:pPr>
        <w:pStyle w:val="BodyText"/>
        <w:spacing w:before="9" w:after="1"/>
        <w:rPr>
          <w:sz w:val="21"/>
        </w:rPr>
      </w:pPr>
    </w:p>
    <w:tbl>
      <w:tblPr>
        <w:tblW w:w="5000" w:type="pct"/>
        <w:tblCellMar>
          <w:left w:w="0" w:type="dxa"/>
          <w:right w:w="0" w:type="dxa"/>
        </w:tblCellMar>
        <w:tblLook w:val="01E0" w:firstRow="1" w:lastRow="1" w:firstColumn="1" w:lastColumn="1" w:noHBand="0" w:noVBand="0"/>
      </w:tblPr>
      <w:tblGrid>
        <w:gridCol w:w="3752"/>
        <w:gridCol w:w="4536"/>
        <w:gridCol w:w="2792"/>
      </w:tblGrid>
      <w:tr w:rsidR="001E46A2" w14:paraId="3406FE54" w14:textId="77777777" w:rsidTr="00FB68E1">
        <w:tc>
          <w:tcPr>
            <w:tcW w:w="1693" w:type="pct"/>
            <w:shd w:val="clear" w:color="auto" w:fill="auto"/>
          </w:tcPr>
          <w:p w14:paraId="7DEBE060" w14:textId="77777777" w:rsidR="001E46A2" w:rsidRDefault="00000000" w:rsidP="00BE48BA">
            <w:pPr>
              <w:pStyle w:val="TableParagraph"/>
              <w:spacing w:line="240" w:lineRule="auto"/>
              <w:ind w:left="50"/>
              <w:rPr>
                <w:sz w:val="20"/>
              </w:rPr>
            </w:pPr>
            <w:r>
              <w:rPr>
                <w:sz w:val="20"/>
              </w:rPr>
              <w:t>________________________</w:t>
            </w:r>
          </w:p>
        </w:tc>
        <w:tc>
          <w:tcPr>
            <w:tcW w:w="2047" w:type="pct"/>
            <w:shd w:val="clear" w:color="auto" w:fill="auto"/>
          </w:tcPr>
          <w:p w14:paraId="5D0BCC11" w14:textId="77777777" w:rsidR="001E46A2" w:rsidRDefault="00000000" w:rsidP="00BE48BA">
            <w:pPr>
              <w:pStyle w:val="TableParagraph"/>
              <w:spacing w:line="240" w:lineRule="auto"/>
              <w:ind w:left="536"/>
              <w:rPr>
                <w:sz w:val="20"/>
              </w:rPr>
            </w:pPr>
            <w:r>
              <w:rPr>
                <w:sz w:val="20"/>
              </w:rPr>
              <w:t>By_________________________</w:t>
            </w:r>
          </w:p>
        </w:tc>
        <w:tc>
          <w:tcPr>
            <w:tcW w:w="1260" w:type="pct"/>
            <w:shd w:val="clear" w:color="auto" w:fill="auto"/>
          </w:tcPr>
          <w:p w14:paraId="28A0987F" w14:textId="77777777" w:rsidR="001E46A2" w:rsidRDefault="00000000" w:rsidP="00BE48BA">
            <w:pPr>
              <w:pStyle w:val="TableParagraph"/>
              <w:spacing w:line="240" w:lineRule="auto"/>
              <w:ind w:left="398"/>
              <w:jc w:val="center"/>
              <w:rPr>
                <w:sz w:val="20"/>
              </w:rPr>
            </w:pPr>
            <w:r>
              <w:rPr>
                <w:sz w:val="20"/>
              </w:rPr>
              <w:t>__________________</w:t>
            </w:r>
          </w:p>
        </w:tc>
      </w:tr>
      <w:tr w:rsidR="001E46A2" w14:paraId="13FDAAA5" w14:textId="77777777" w:rsidTr="00FB68E1">
        <w:tc>
          <w:tcPr>
            <w:tcW w:w="1693" w:type="pct"/>
            <w:shd w:val="clear" w:color="auto" w:fill="auto"/>
          </w:tcPr>
          <w:p w14:paraId="0B57AD38" w14:textId="77777777" w:rsidR="001E46A2" w:rsidRDefault="00000000" w:rsidP="00BE48BA">
            <w:pPr>
              <w:pStyle w:val="TableParagraph"/>
              <w:spacing w:line="240" w:lineRule="auto"/>
              <w:ind w:left="770"/>
              <w:rPr>
                <w:sz w:val="20"/>
              </w:rPr>
            </w:pPr>
            <w:r>
              <w:rPr>
                <w:sz w:val="20"/>
              </w:rPr>
              <w:t>Date</w:t>
            </w:r>
          </w:p>
        </w:tc>
        <w:tc>
          <w:tcPr>
            <w:tcW w:w="2047" w:type="pct"/>
            <w:shd w:val="clear" w:color="auto" w:fill="auto"/>
          </w:tcPr>
          <w:p w14:paraId="3D9CE282" w14:textId="77777777" w:rsidR="001E46A2" w:rsidRDefault="00000000" w:rsidP="00BE48BA">
            <w:pPr>
              <w:pStyle w:val="TableParagraph"/>
              <w:spacing w:line="240" w:lineRule="auto"/>
              <w:ind w:left="1447"/>
              <w:jc w:val="center"/>
              <w:rPr>
                <w:sz w:val="20"/>
              </w:rPr>
            </w:pPr>
            <w:r>
              <w:rPr>
                <w:sz w:val="20"/>
              </w:rPr>
              <w:t>Name</w:t>
            </w:r>
          </w:p>
        </w:tc>
        <w:tc>
          <w:tcPr>
            <w:tcW w:w="1260" w:type="pct"/>
            <w:shd w:val="clear" w:color="auto" w:fill="auto"/>
          </w:tcPr>
          <w:p w14:paraId="46AA72A9" w14:textId="77777777" w:rsidR="001E46A2" w:rsidRDefault="00000000" w:rsidP="00BE48BA">
            <w:pPr>
              <w:pStyle w:val="TableParagraph"/>
              <w:spacing w:line="240" w:lineRule="auto"/>
              <w:ind w:left="299"/>
              <w:jc w:val="center"/>
              <w:rPr>
                <w:sz w:val="20"/>
              </w:rPr>
            </w:pPr>
            <w:r>
              <w:rPr>
                <w:sz w:val="20"/>
              </w:rPr>
              <w:t>Title</w:t>
            </w:r>
          </w:p>
        </w:tc>
      </w:tr>
    </w:tbl>
    <w:p w14:paraId="058828FA" w14:textId="77777777" w:rsidR="001E46A2" w:rsidRDefault="001E46A2" w:rsidP="00BE48BA">
      <w:pPr>
        <w:pStyle w:val="BodyText"/>
      </w:pPr>
    </w:p>
    <w:p w14:paraId="5398B8AA" w14:textId="77777777" w:rsidR="001E46A2" w:rsidRDefault="001E46A2" w:rsidP="00BE48BA">
      <w:pPr>
        <w:pStyle w:val="BodyText"/>
      </w:pPr>
    </w:p>
    <w:p w14:paraId="24F1344A" w14:textId="77777777" w:rsidR="001E46A2" w:rsidRDefault="001E46A2" w:rsidP="00BE48BA">
      <w:pPr>
        <w:pStyle w:val="BodyText"/>
      </w:pPr>
    </w:p>
    <w:p w14:paraId="546FCF40" w14:textId="77777777" w:rsidR="001E46A2" w:rsidRDefault="001E46A2" w:rsidP="00BE48BA">
      <w:pPr>
        <w:pStyle w:val="BodyText"/>
      </w:pPr>
    </w:p>
    <w:p w14:paraId="606EB851" w14:textId="77777777" w:rsidR="001E46A2" w:rsidRDefault="00000000" w:rsidP="00BE48BA">
      <w:pPr>
        <w:pStyle w:val="BodyText"/>
        <w:spacing w:before="6"/>
        <w:rPr>
          <w:sz w:val="16"/>
        </w:rPr>
      </w:pPr>
      <w:r>
        <w:pict w14:anchorId="514215DC">
          <v:line id="_x0000_s1026" style="position:absolute;z-index:-251653632;mso-wrap-distance-left:0;mso-wrap-distance-right:0;mso-position-horizontal-relative:page" from="40.55pt,11.7pt" to="148.55pt,11.7pt" strokeweight=".48pt">
            <w10:wrap type="topAndBottom" anchorx="page"/>
          </v:line>
        </w:pict>
      </w:r>
    </w:p>
    <w:p w14:paraId="12A1F51D" w14:textId="03F54339" w:rsidR="001E46A2" w:rsidRDefault="00000000" w:rsidP="00BE48BA">
      <w:pPr>
        <w:tabs>
          <w:tab w:val="left" w:pos="9427"/>
        </w:tabs>
        <w:spacing w:before="35"/>
        <w:ind w:left="251"/>
        <w:rPr>
          <w:sz w:val="16"/>
        </w:rPr>
      </w:pPr>
      <w:r>
        <w:rPr>
          <w:position w:val="7"/>
          <w:sz w:val="11"/>
        </w:rPr>
        <w:t xml:space="preserve">1 </w:t>
      </w:r>
      <w:r>
        <w:rPr>
          <w:spacing w:val="23"/>
          <w:position w:val="7"/>
          <w:sz w:val="11"/>
        </w:rPr>
        <w:t xml:space="preserve"> </w:t>
      </w:r>
      <w:r>
        <w:rPr>
          <w:sz w:val="16"/>
        </w:rPr>
        <w:t>Form</w:t>
      </w:r>
      <w:r>
        <w:rPr>
          <w:spacing w:val="-5"/>
          <w:sz w:val="16"/>
        </w:rPr>
        <w:t xml:space="preserve"> </w:t>
      </w:r>
      <w:r>
        <w:rPr>
          <w:sz w:val="16"/>
        </w:rPr>
        <w:t>25</w:t>
      </w:r>
      <w:r>
        <w:rPr>
          <w:spacing w:val="-4"/>
          <w:sz w:val="16"/>
        </w:rPr>
        <w:t xml:space="preserve"> </w:t>
      </w:r>
      <w:r>
        <w:rPr>
          <w:sz w:val="16"/>
        </w:rPr>
        <w:t>and</w:t>
      </w:r>
      <w:r>
        <w:rPr>
          <w:spacing w:val="-4"/>
          <w:sz w:val="16"/>
        </w:rPr>
        <w:t xml:space="preserve"> </w:t>
      </w:r>
      <w:r>
        <w:rPr>
          <w:sz w:val="16"/>
        </w:rPr>
        <w:t>attached</w:t>
      </w:r>
      <w:r>
        <w:rPr>
          <w:spacing w:val="-5"/>
          <w:sz w:val="16"/>
        </w:rPr>
        <w:t xml:space="preserve"> </w:t>
      </w:r>
      <w:r>
        <w:rPr>
          <w:sz w:val="16"/>
        </w:rPr>
        <w:t>Notice</w:t>
      </w:r>
      <w:r>
        <w:rPr>
          <w:spacing w:val="-4"/>
          <w:sz w:val="16"/>
        </w:rPr>
        <w:t xml:space="preserve"> </w:t>
      </w:r>
      <w:r>
        <w:rPr>
          <w:sz w:val="16"/>
        </w:rPr>
        <w:t>will</w:t>
      </w:r>
      <w:r>
        <w:rPr>
          <w:spacing w:val="-4"/>
          <w:sz w:val="16"/>
        </w:rPr>
        <w:t xml:space="preserve"> </w:t>
      </w:r>
      <w:r>
        <w:rPr>
          <w:sz w:val="16"/>
        </w:rPr>
        <w:t>be</w:t>
      </w:r>
      <w:r>
        <w:rPr>
          <w:spacing w:val="-5"/>
          <w:sz w:val="16"/>
        </w:rPr>
        <w:t xml:space="preserve"> </w:t>
      </w:r>
      <w:r>
        <w:rPr>
          <w:sz w:val="16"/>
        </w:rPr>
        <w:t>considered</w:t>
      </w:r>
      <w:r>
        <w:rPr>
          <w:spacing w:val="-4"/>
          <w:sz w:val="16"/>
        </w:rPr>
        <w:t xml:space="preserve"> </w:t>
      </w:r>
      <w:r>
        <w:rPr>
          <w:sz w:val="16"/>
        </w:rPr>
        <w:t>compliance</w:t>
      </w:r>
      <w:r>
        <w:rPr>
          <w:spacing w:val="-4"/>
          <w:sz w:val="16"/>
        </w:rPr>
        <w:t xml:space="preserve"> </w:t>
      </w:r>
      <w:r>
        <w:rPr>
          <w:sz w:val="16"/>
        </w:rPr>
        <w:t>with</w:t>
      </w:r>
      <w:r>
        <w:rPr>
          <w:spacing w:val="-5"/>
          <w:sz w:val="16"/>
        </w:rPr>
        <w:t xml:space="preserve"> </w:t>
      </w:r>
      <w:r>
        <w:rPr>
          <w:sz w:val="16"/>
        </w:rPr>
        <w:t>the</w:t>
      </w:r>
      <w:r>
        <w:rPr>
          <w:spacing w:val="-4"/>
          <w:sz w:val="16"/>
        </w:rPr>
        <w:t xml:space="preserve"> </w:t>
      </w:r>
      <w:r>
        <w:rPr>
          <w:sz w:val="16"/>
        </w:rPr>
        <w:t>provisions</w:t>
      </w:r>
      <w:r>
        <w:rPr>
          <w:spacing w:val="-4"/>
          <w:sz w:val="16"/>
        </w:rPr>
        <w:t xml:space="preserve"> </w:t>
      </w:r>
      <w:r>
        <w:rPr>
          <w:sz w:val="16"/>
        </w:rPr>
        <w:t>of</w:t>
      </w:r>
      <w:r>
        <w:rPr>
          <w:spacing w:val="-5"/>
          <w:sz w:val="16"/>
        </w:rPr>
        <w:t xml:space="preserve"> </w:t>
      </w:r>
      <w:r>
        <w:rPr>
          <w:sz w:val="16"/>
        </w:rPr>
        <w:t>17</w:t>
      </w:r>
      <w:r>
        <w:rPr>
          <w:spacing w:val="-4"/>
          <w:sz w:val="16"/>
        </w:rPr>
        <w:t xml:space="preserve"> </w:t>
      </w:r>
      <w:r>
        <w:rPr>
          <w:sz w:val="16"/>
        </w:rPr>
        <w:t>CFR</w:t>
      </w:r>
      <w:r>
        <w:rPr>
          <w:spacing w:val="-4"/>
          <w:sz w:val="16"/>
        </w:rPr>
        <w:t xml:space="preserve"> </w:t>
      </w:r>
      <w:r>
        <w:rPr>
          <w:sz w:val="16"/>
        </w:rPr>
        <w:t>240.19d-1</w:t>
      </w:r>
      <w:r>
        <w:rPr>
          <w:spacing w:val="-5"/>
          <w:sz w:val="16"/>
        </w:rPr>
        <w:t xml:space="preserve"> </w:t>
      </w:r>
      <w:r>
        <w:rPr>
          <w:sz w:val="16"/>
        </w:rPr>
        <w:t>as</w:t>
      </w:r>
      <w:r>
        <w:rPr>
          <w:spacing w:val="-4"/>
          <w:sz w:val="16"/>
        </w:rPr>
        <w:t xml:space="preserve"> </w:t>
      </w:r>
      <w:r>
        <w:rPr>
          <w:sz w:val="16"/>
        </w:rPr>
        <w:t>applicable.</w:t>
      </w:r>
      <w:r>
        <w:rPr>
          <w:spacing w:val="-4"/>
          <w:sz w:val="16"/>
        </w:rPr>
        <w:t xml:space="preserve"> </w:t>
      </w:r>
      <w:r>
        <w:rPr>
          <w:sz w:val="16"/>
        </w:rPr>
        <w:t>See</w:t>
      </w:r>
      <w:r>
        <w:rPr>
          <w:spacing w:val="-5"/>
          <w:sz w:val="16"/>
        </w:rPr>
        <w:t xml:space="preserve"> </w:t>
      </w:r>
      <w:r>
        <w:rPr>
          <w:sz w:val="16"/>
        </w:rPr>
        <w:t>General</w:t>
      </w:r>
      <w:r>
        <w:rPr>
          <w:spacing w:val="-4"/>
          <w:sz w:val="16"/>
        </w:rPr>
        <w:t xml:space="preserve"> </w:t>
      </w:r>
      <w:r>
        <w:rPr>
          <w:sz w:val="16"/>
        </w:rPr>
        <w:t>Instructions.</w:t>
      </w:r>
    </w:p>
    <w:p w14:paraId="6A450C69" w14:textId="77777777" w:rsidR="001E46A2" w:rsidRDefault="001E46A2" w:rsidP="00BE48BA">
      <w:pPr>
        <w:pStyle w:val="BodyText"/>
      </w:pPr>
    </w:p>
    <w:p w14:paraId="1EC7531D" w14:textId="77777777" w:rsidR="001E46A2" w:rsidRDefault="00000000" w:rsidP="00BE48BA">
      <w:pPr>
        <w:spacing w:before="152" w:line="184" w:lineRule="exact"/>
        <w:ind w:left="2411"/>
        <w:rPr>
          <w:b/>
          <w:sz w:val="18"/>
        </w:rPr>
      </w:pPr>
      <w:r>
        <w:rPr>
          <w:b/>
          <w:sz w:val="18"/>
        </w:rPr>
        <w:t xml:space="preserve">Persons who respond to the collection of information contained </w:t>
      </w:r>
    </w:p>
    <w:p w14:paraId="5FCC4810" w14:textId="77777777" w:rsidR="001E46A2" w:rsidRDefault="00000000" w:rsidP="00BE48BA">
      <w:pPr>
        <w:tabs>
          <w:tab w:val="left" w:pos="2411"/>
        </w:tabs>
        <w:spacing w:before="5" w:line="204" w:lineRule="auto"/>
        <w:ind w:left="2411" w:hanging="2297"/>
        <w:rPr>
          <w:b/>
          <w:sz w:val="18"/>
        </w:rPr>
      </w:pPr>
      <w:r>
        <w:rPr>
          <w:spacing w:val="-4"/>
          <w:sz w:val="20"/>
        </w:rPr>
        <w:t>SEC</w:t>
      </w:r>
      <w:r>
        <w:rPr>
          <w:spacing w:val="-11"/>
          <w:sz w:val="20"/>
        </w:rPr>
        <w:t xml:space="preserve"> </w:t>
      </w:r>
      <w:r>
        <w:rPr>
          <w:spacing w:val="-5"/>
          <w:sz w:val="20"/>
        </w:rPr>
        <w:t>1654</w:t>
      </w:r>
      <w:r>
        <w:rPr>
          <w:spacing w:val="-9"/>
          <w:sz w:val="20"/>
        </w:rPr>
        <w:t xml:space="preserve"> </w:t>
      </w:r>
      <w:r>
        <w:rPr>
          <w:spacing w:val="-6"/>
          <w:sz w:val="20"/>
        </w:rPr>
        <w:t>(03-06)</w:t>
      </w:r>
      <w:r>
        <w:rPr>
          <w:spacing w:val="-6"/>
          <w:sz w:val="20"/>
        </w:rPr>
        <w:tab/>
      </w:r>
      <w:r>
        <w:rPr>
          <w:b/>
          <w:spacing w:val="7"/>
          <w:sz w:val="18"/>
        </w:rPr>
        <w:t xml:space="preserve">in </w:t>
      </w:r>
      <w:r>
        <w:rPr>
          <w:b/>
          <w:spacing w:val="10"/>
          <w:sz w:val="18"/>
        </w:rPr>
        <w:t xml:space="preserve">this  form  </w:t>
      </w:r>
      <w:r>
        <w:rPr>
          <w:b/>
          <w:spacing w:val="9"/>
          <w:sz w:val="18"/>
        </w:rPr>
        <w:t xml:space="preserve">are  not  </w:t>
      </w:r>
      <w:r>
        <w:rPr>
          <w:b/>
          <w:spacing w:val="12"/>
          <w:sz w:val="18"/>
        </w:rPr>
        <w:t xml:space="preserve">required  </w:t>
      </w:r>
      <w:r>
        <w:rPr>
          <w:b/>
          <w:spacing w:val="7"/>
          <w:sz w:val="18"/>
        </w:rPr>
        <w:t xml:space="preserve">to  </w:t>
      </w:r>
      <w:r>
        <w:rPr>
          <w:b/>
          <w:spacing w:val="12"/>
          <w:sz w:val="18"/>
        </w:rPr>
        <w:t xml:space="preserve">respond  </w:t>
      </w:r>
      <w:r>
        <w:rPr>
          <w:b/>
          <w:spacing w:val="11"/>
          <w:sz w:val="18"/>
        </w:rPr>
        <w:t xml:space="preserve">unless  </w:t>
      </w:r>
      <w:r>
        <w:rPr>
          <w:b/>
          <w:spacing w:val="9"/>
          <w:sz w:val="18"/>
        </w:rPr>
        <w:t xml:space="preserve">the  </w:t>
      </w:r>
      <w:r>
        <w:rPr>
          <w:b/>
          <w:spacing w:val="10"/>
          <w:sz w:val="18"/>
        </w:rPr>
        <w:t xml:space="preserve">form  </w:t>
      </w:r>
      <w:r>
        <w:rPr>
          <w:b/>
          <w:spacing w:val="14"/>
          <w:sz w:val="18"/>
        </w:rPr>
        <w:t xml:space="preserve">displays </w:t>
      </w:r>
      <w:r>
        <w:rPr>
          <w:b/>
          <w:sz w:val="18"/>
        </w:rPr>
        <w:t xml:space="preserve">a </w:t>
      </w:r>
      <w:r>
        <w:rPr>
          <w:b/>
          <w:spacing w:val="13"/>
          <w:sz w:val="18"/>
        </w:rPr>
        <w:t xml:space="preserve">currently </w:t>
      </w:r>
      <w:r>
        <w:rPr>
          <w:b/>
          <w:spacing w:val="11"/>
          <w:sz w:val="18"/>
        </w:rPr>
        <w:t xml:space="preserve">valid </w:t>
      </w:r>
      <w:r>
        <w:rPr>
          <w:b/>
          <w:spacing w:val="10"/>
          <w:sz w:val="18"/>
        </w:rPr>
        <w:t xml:space="preserve">OMB </w:t>
      </w:r>
      <w:r>
        <w:rPr>
          <w:b/>
          <w:spacing w:val="12"/>
          <w:sz w:val="18"/>
        </w:rPr>
        <w:t>control</w:t>
      </w:r>
      <w:r>
        <w:rPr>
          <w:b/>
          <w:spacing w:val="58"/>
          <w:sz w:val="18"/>
        </w:rPr>
        <w:t xml:space="preserve"> </w:t>
      </w:r>
      <w:r>
        <w:rPr>
          <w:b/>
          <w:spacing w:val="14"/>
          <w:sz w:val="18"/>
        </w:rPr>
        <w:t>number.</w:t>
      </w:r>
    </w:p>
    <w:p w14:paraId="3AF5876C" w14:textId="77777777" w:rsidR="001E46A2" w:rsidRDefault="001E46A2" w:rsidP="00BE48BA">
      <w:pPr>
        <w:spacing w:line="204" w:lineRule="auto"/>
        <w:rPr>
          <w:sz w:val="18"/>
        </w:rPr>
        <w:sectPr w:rsidR="001E46A2">
          <w:type w:val="continuous"/>
          <w:pgSz w:w="12240" w:h="15840"/>
          <w:pgMar w:top="600" w:right="600" w:bottom="0" w:left="560" w:header="720" w:footer="720" w:gutter="0"/>
          <w:cols w:space="720"/>
        </w:sectPr>
      </w:pPr>
    </w:p>
    <w:p w14:paraId="78590C81" w14:textId="77777777" w:rsidR="001E46A2" w:rsidRDefault="00000000" w:rsidP="00BE48BA">
      <w:pPr>
        <w:pStyle w:val="Heading1"/>
        <w:spacing w:before="61"/>
        <w:ind w:left="4480" w:right="0"/>
        <w:jc w:val="left"/>
      </w:pPr>
      <w:r>
        <w:lastRenderedPageBreak/>
        <w:t>GENERAL INSTRUCTIONS</w:t>
      </w:r>
    </w:p>
    <w:p w14:paraId="46B9F383" w14:textId="77777777" w:rsidR="00531B9C" w:rsidRDefault="00531B9C" w:rsidP="00531B9C">
      <w:pPr>
        <w:pStyle w:val="Heading1"/>
        <w:spacing w:before="61"/>
        <w:ind w:left="0" w:right="0"/>
      </w:pP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4CC366BE" w14:textId="77777777" w:rsidTr="00531B9C">
        <w:tc>
          <w:tcPr>
            <w:tcW w:w="150" w:type="pct"/>
            <w:hideMark/>
          </w:tcPr>
          <w:p w14:paraId="38F17899" w14:textId="77777777" w:rsidR="00531B9C" w:rsidRPr="00531B9C" w:rsidRDefault="00531B9C" w:rsidP="00531B9C">
            <w:pPr>
              <w:widowControl/>
              <w:autoSpaceDE/>
              <w:autoSpaceDN/>
              <w:rPr>
                <w:sz w:val="24"/>
                <w:szCs w:val="24"/>
              </w:rPr>
            </w:pPr>
            <w:r w:rsidRPr="00531B9C">
              <w:rPr>
                <w:sz w:val="20"/>
                <w:szCs w:val="20"/>
              </w:rPr>
              <w:t>1.</w:t>
            </w:r>
          </w:p>
        </w:tc>
        <w:tc>
          <w:tcPr>
            <w:tcW w:w="50" w:type="pct"/>
            <w:hideMark/>
          </w:tcPr>
          <w:p w14:paraId="22AC5469" w14:textId="77777777" w:rsidR="00531B9C" w:rsidRPr="00531B9C" w:rsidRDefault="00531B9C" w:rsidP="00531B9C">
            <w:pPr>
              <w:widowControl/>
              <w:autoSpaceDE/>
              <w:autoSpaceDN/>
              <w:rPr>
                <w:sz w:val="24"/>
                <w:szCs w:val="24"/>
              </w:rPr>
            </w:pPr>
            <w:r w:rsidRPr="00531B9C">
              <w:rPr>
                <w:sz w:val="15"/>
                <w:szCs w:val="15"/>
              </w:rPr>
              <w:t> </w:t>
            </w:r>
          </w:p>
        </w:tc>
        <w:tc>
          <w:tcPr>
            <w:tcW w:w="0" w:type="auto"/>
            <w:hideMark/>
          </w:tcPr>
          <w:p w14:paraId="482EF6EB" w14:textId="77777777" w:rsidR="00531B9C" w:rsidRPr="00531B9C" w:rsidRDefault="00531B9C" w:rsidP="00531B9C">
            <w:pPr>
              <w:widowControl/>
              <w:autoSpaceDE/>
              <w:autoSpaceDN/>
              <w:rPr>
                <w:sz w:val="24"/>
                <w:szCs w:val="24"/>
              </w:rPr>
            </w:pPr>
            <w:r w:rsidRPr="00531B9C">
              <w:rPr>
                <w:sz w:val="20"/>
                <w:szCs w:val="20"/>
              </w:rPr>
              <w:t xml:space="preserve">This form is required by Rule 12d2-2 (17 CFR 240.12d2-2) of the General Rules and Regulations under the Securities Exchange Act of 1934 (“Exchange Act”). </w:t>
            </w:r>
          </w:p>
        </w:tc>
      </w:tr>
    </w:tbl>
    <w:p w14:paraId="7F496AE6" w14:textId="77777777" w:rsidR="00531B9C" w:rsidRPr="00531B9C" w:rsidRDefault="00531B9C" w:rsidP="00531B9C">
      <w:pPr>
        <w:widowControl/>
        <w:autoSpaceDE/>
        <w:autoSpaceDN/>
        <w:rPr>
          <w:sz w:val="9"/>
          <w:szCs w:val="9"/>
        </w:rPr>
      </w:pPr>
      <w:r w:rsidRPr="00531B9C">
        <w:rPr>
          <w:sz w:val="9"/>
          <w:szCs w:val="9"/>
        </w:rPr>
        <w:t> </w:t>
      </w: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4B860992" w14:textId="77777777" w:rsidTr="00531B9C">
        <w:tc>
          <w:tcPr>
            <w:tcW w:w="150" w:type="pct"/>
            <w:hideMark/>
          </w:tcPr>
          <w:p w14:paraId="3E96FEA1" w14:textId="77777777" w:rsidR="00531B9C" w:rsidRPr="00531B9C" w:rsidRDefault="00531B9C" w:rsidP="00531B9C">
            <w:pPr>
              <w:widowControl/>
              <w:autoSpaceDE/>
              <w:autoSpaceDN/>
              <w:rPr>
                <w:sz w:val="24"/>
                <w:szCs w:val="24"/>
              </w:rPr>
            </w:pPr>
            <w:r w:rsidRPr="00531B9C">
              <w:rPr>
                <w:sz w:val="20"/>
                <w:szCs w:val="20"/>
              </w:rPr>
              <w:t>2.</w:t>
            </w:r>
          </w:p>
        </w:tc>
        <w:tc>
          <w:tcPr>
            <w:tcW w:w="50" w:type="pct"/>
            <w:hideMark/>
          </w:tcPr>
          <w:p w14:paraId="41B330BE" w14:textId="77777777" w:rsidR="00531B9C" w:rsidRPr="00531B9C" w:rsidRDefault="00531B9C" w:rsidP="00531B9C">
            <w:pPr>
              <w:widowControl/>
              <w:autoSpaceDE/>
              <w:autoSpaceDN/>
              <w:rPr>
                <w:sz w:val="24"/>
                <w:szCs w:val="24"/>
              </w:rPr>
            </w:pPr>
            <w:r w:rsidRPr="00531B9C">
              <w:rPr>
                <w:sz w:val="15"/>
                <w:szCs w:val="15"/>
              </w:rPr>
              <w:t> </w:t>
            </w:r>
          </w:p>
        </w:tc>
        <w:tc>
          <w:tcPr>
            <w:tcW w:w="0" w:type="auto"/>
            <w:hideMark/>
          </w:tcPr>
          <w:p w14:paraId="1261C317" w14:textId="77777777" w:rsidR="00531B9C" w:rsidRPr="00531B9C" w:rsidRDefault="00531B9C" w:rsidP="00531B9C">
            <w:pPr>
              <w:widowControl/>
              <w:autoSpaceDE/>
              <w:autoSpaceDN/>
              <w:rPr>
                <w:sz w:val="24"/>
                <w:szCs w:val="24"/>
              </w:rPr>
            </w:pPr>
            <w:r w:rsidRPr="00531B9C">
              <w:rPr>
                <w:sz w:val="20"/>
                <w:szCs w:val="20"/>
              </w:rPr>
              <w:t xml:space="preserve">Exchanges: Attach the delisting determination to this Form 25 to serve as the required Notice pursuant to Exchange Act Rule 19d-1 (17 CFR 240.19d-1). Form 25 and the attached Notice will be considered compliance with the provisions of Rule 19d-1 as applicable. </w:t>
            </w:r>
          </w:p>
        </w:tc>
      </w:tr>
    </w:tbl>
    <w:p w14:paraId="7029F310" w14:textId="77777777" w:rsidR="00531B9C" w:rsidRPr="00531B9C" w:rsidRDefault="00531B9C" w:rsidP="00531B9C">
      <w:pPr>
        <w:widowControl/>
        <w:autoSpaceDE/>
        <w:autoSpaceDN/>
        <w:rPr>
          <w:sz w:val="9"/>
          <w:szCs w:val="9"/>
        </w:rPr>
      </w:pPr>
      <w:r w:rsidRPr="00531B9C">
        <w:rPr>
          <w:sz w:val="9"/>
          <w:szCs w:val="9"/>
        </w:rPr>
        <w:t> </w:t>
      </w: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1E084A2F" w14:textId="77777777" w:rsidTr="00531B9C">
        <w:tc>
          <w:tcPr>
            <w:tcW w:w="150" w:type="pct"/>
            <w:hideMark/>
          </w:tcPr>
          <w:p w14:paraId="145EA287" w14:textId="77777777" w:rsidR="00531B9C" w:rsidRPr="00531B9C" w:rsidRDefault="00531B9C" w:rsidP="00531B9C">
            <w:pPr>
              <w:widowControl/>
              <w:autoSpaceDE/>
              <w:autoSpaceDN/>
              <w:rPr>
                <w:sz w:val="24"/>
                <w:szCs w:val="24"/>
              </w:rPr>
            </w:pPr>
            <w:r w:rsidRPr="00531B9C">
              <w:rPr>
                <w:sz w:val="20"/>
                <w:szCs w:val="20"/>
              </w:rPr>
              <w:t>3.</w:t>
            </w:r>
          </w:p>
        </w:tc>
        <w:tc>
          <w:tcPr>
            <w:tcW w:w="50" w:type="pct"/>
            <w:hideMark/>
          </w:tcPr>
          <w:p w14:paraId="0D8DD64F" w14:textId="77777777" w:rsidR="00531B9C" w:rsidRPr="00531B9C" w:rsidRDefault="00531B9C" w:rsidP="00531B9C">
            <w:pPr>
              <w:widowControl/>
              <w:autoSpaceDE/>
              <w:autoSpaceDN/>
              <w:rPr>
                <w:sz w:val="24"/>
                <w:szCs w:val="24"/>
              </w:rPr>
            </w:pPr>
            <w:r w:rsidRPr="00531B9C">
              <w:rPr>
                <w:sz w:val="15"/>
                <w:szCs w:val="15"/>
              </w:rPr>
              <w:t> </w:t>
            </w:r>
          </w:p>
        </w:tc>
        <w:tc>
          <w:tcPr>
            <w:tcW w:w="0" w:type="auto"/>
            <w:hideMark/>
          </w:tcPr>
          <w:p w14:paraId="15635032" w14:textId="77777777" w:rsidR="00531B9C" w:rsidRPr="00531B9C" w:rsidRDefault="00531B9C" w:rsidP="00531B9C">
            <w:pPr>
              <w:widowControl/>
              <w:autoSpaceDE/>
              <w:autoSpaceDN/>
              <w:rPr>
                <w:sz w:val="24"/>
                <w:szCs w:val="24"/>
              </w:rPr>
            </w:pPr>
            <w:r w:rsidRPr="00531B9C">
              <w:rPr>
                <w:sz w:val="20"/>
                <w:szCs w:val="20"/>
              </w:rPr>
              <w:t xml:space="preserve">The Form 25 and any attachments must be filed electronically on the EDGAR database. </w:t>
            </w:r>
          </w:p>
        </w:tc>
      </w:tr>
    </w:tbl>
    <w:p w14:paraId="3F12B382" w14:textId="77777777" w:rsidR="00531B9C" w:rsidRPr="00531B9C" w:rsidRDefault="00531B9C" w:rsidP="00531B9C">
      <w:pPr>
        <w:widowControl/>
        <w:autoSpaceDE/>
        <w:autoSpaceDN/>
        <w:rPr>
          <w:sz w:val="9"/>
          <w:szCs w:val="9"/>
        </w:rPr>
      </w:pPr>
      <w:r w:rsidRPr="00531B9C">
        <w:rPr>
          <w:sz w:val="9"/>
          <w:szCs w:val="9"/>
        </w:rPr>
        <w:t> </w:t>
      </w: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3A36F52B" w14:textId="77777777" w:rsidTr="00531B9C">
        <w:tc>
          <w:tcPr>
            <w:tcW w:w="150" w:type="pct"/>
            <w:hideMark/>
          </w:tcPr>
          <w:p w14:paraId="4B7D522D" w14:textId="77777777" w:rsidR="00531B9C" w:rsidRPr="00531B9C" w:rsidRDefault="00531B9C" w:rsidP="00531B9C">
            <w:pPr>
              <w:widowControl/>
              <w:autoSpaceDE/>
              <w:autoSpaceDN/>
              <w:rPr>
                <w:sz w:val="24"/>
                <w:szCs w:val="24"/>
              </w:rPr>
            </w:pPr>
            <w:r w:rsidRPr="00531B9C">
              <w:rPr>
                <w:sz w:val="20"/>
                <w:szCs w:val="20"/>
              </w:rPr>
              <w:t>4.</w:t>
            </w:r>
          </w:p>
        </w:tc>
        <w:tc>
          <w:tcPr>
            <w:tcW w:w="50" w:type="pct"/>
            <w:hideMark/>
          </w:tcPr>
          <w:p w14:paraId="21C65AEC" w14:textId="77777777" w:rsidR="00531B9C" w:rsidRPr="00531B9C" w:rsidRDefault="00531B9C" w:rsidP="00531B9C">
            <w:pPr>
              <w:widowControl/>
              <w:autoSpaceDE/>
              <w:autoSpaceDN/>
              <w:rPr>
                <w:sz w:val="24"/>
                <w:szCs w:val="24"/>
              </w:rPr>
            </w:pPr>
            <w:r w:rsidRPr="00531B9C">
              <w:rPr>
                <w:sz w:val="15"/>
                <w:szCs w:val="15"/>
              </w:rPr>
              <w:t> </w:t>
            </w:r>
          </w:p>
        </w:tc>
        <w:tc>
          <w:tcPr>
            <w:tcW w:w="0" w:type="auto"/>
            <w:hideMark/>
          </w:tcPr>
          <w:p w14:paraId="519AC9A7" w14:textId="77777777" w:rsidR="00531B9C" w:rsidRPr="00531B9C" w:rsidRDefault="00531B9C" w:rsidP="00531B9C">
            <w:pPr>
              <w:widowControl/>
              <w:autoSpaceDE/>
              <w:autoSpaceDN/>
              <w:rPr>
                <w:sz w:val="24"/>
                <w:szCs w:val="24"/>
              </w:rPr>
            </w:pPr>
            <w:r w:rsidRPr="00531B9C">
              <w:rPr>
                <w:sz w:val="20"/>
                <w:szCs w:val="20"/>
              </w:rPr>
              <w:t xml:space="preserve">The removal of the class of securities from listing on the exchange shall be effective 10 days after filing the Form 25. With respect to the filing of any amendment to Form 25, the removal of the class of securities from listing on the exchange shall be effective 10 days after filing the amended Form 25. </w:t>
            </w:r>
          </w:p>
        </w:tc>
      </w:tr>
    </w:tbl>
    <w:p w14:paraId="696842DE" w14:textId="77777777" w:rsidR="00531B9C" w:rsidRPr="00531B9C" w:rsidRDefault="00531B9C" w:rsidP="00531B9C">
      <w:pPr>
        <w:widowControl/>
        <w:autoSpaceDE/>
        <w:autoSpaceDN/>
        <w:rPr>
          <w:sz w:val="9"/>
          <w:szCs w:val="9"/>
        </w:rPr>
      </w:pPr>
      <w:r w:rsidRPr="00531B9C">
        <w:rPr>
          <w:sz w:val="9"/>
          <w:szCs w:val="9"/>
        </w:rPr>
        <w:t> </w:t>
      </w: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2E9285CE" w14:textId="77777777" w:rsidTr="00531B9C">
        <w:tc>
          <w:tcPr>
            <w:tcW w:w="150" w:type="pct"/>
            <w:shd w:val="clear" w:color="auto" w:fill="auto"/>
            <w:hideMark/>
          </w:tcPr>
          <w:p w14:paraId="5FDA2D17" w14:textId="77777777" w:rsidR="00531B9C" w:rsidRPr="00531B9C" w:rsidRDefault="00531B9C" w:rsidP="00531B9C">
            <w:pPr>
              <w:widowControl/>
              <w:autoSpaceDE/>
              <w:autoSpaceDN/>
              <w:rPr>
                <w:sz w:val="24"/>
                <w:szCs w:val="24"/>
              </w:rPr>
            </w:pPr>
            <w:r w:rsidRPr="00531B9C">
              <w:rPr>
                <w:sz w:val="20"/>
                <w:szCs w:val="20"/>
              </w:rPr>
              <w:t>5.</w:t>
            </w:r>
          </w:p>
        </w:tc>
        <w:tc>
          <w:tcPr>
            <w:tcW w:w="50" w:type="pct"/>
            <w:shd w:val="clear" w:color="auto" w:fill="auto"/>
            <w:hideMark/>
          </w:tcPr>
          <w:p w14:paraId="5000C184" w14:textId="77777777" w:rsidR="00531B9C" w:rsidRPr="00531B9C" w:rsidRDefault="00531B9C" w:rsidP="00531B9C">
            <w:pPr>
              <w:widowControl/>
              <w:autoSpaceDE/>
              <w:autoSpaceDN/>
              <w:rPr>
                <w:sz w:val="24"/>
                <w:szCs w:val="24"/>
              </w:rPr>
            </w:pPr>
            <w:r w:rsidRPr="00531B9C">
              <w:rPr>
                <w:sz w:val="15"/>
                <w:szCs w:val="15"/>
              </w:rPr>
              <w:t> </w:t>
            </w:r>
          </w:p>
        </w:tc>
        <w:tc>
          <w:tcPr>
            <w:tcW w:w="4800" w:type="pct"/>
            <w:shd w:val="clear" w:color="auto" w:fill="auto"/>
            <w:hideMark/>
          </w:tcPr>
          <w:p w14:paraId="480CCFF3" w14:textId="77777777" w:rsidR="00531B9C" w:rsidRPr="00531B9C" w:rsidRDefault="00531B9C" w:rsidP="00531B9C">
            <w:pPr>
              <w:widowControl/>
              <w:autoSpaceDE/>
              <w:autoSpaceDN/>
              <w:rPr>
                <w:sz w:val="24"/>
                <w:szCs w:val="24"/>
              </w:rPr>
            </w:pPr>
            <w:r w:rsidRPr="00531B9C">
              <w:rPr>
                <w:sz w:val="20"/>
                <w:szCs w:val="20"/>
              </w:rPr>
              <w:t xml:space="preserve">The withdrawal of registration of a class of securities registered under Section 12(b) of the Exchange Act shall take effect in 90 days, or such shorter period as the Commission may determine, after the exchange or issuer files a Form 25 with the Commission. With respect to the filing of any amendment to Form 25, the withdrawal of registration of a class of securities registered under Section 12(b) shall take effect in 90 days, or such shorter period as the Commission may determine, after the exchange or issuer files the amended Form 25. </w:t>
            </w:r>
          </w:p>
        </w:tc>
      </w:tr>
    </w:tbl>
    <w:p w14:paraId="4623F239" w14:textId="77777777" w:rsidR="00531B9C" w:rsidRPr="00531B9C" w:rsidRDefault="00531B9C" w:rsidP="00531B9C">
      <w:pPr>
        <w:widowControl/>
        <w:autoSpaceDE/>
        <w:autoSpaceDN/>
        <w:rPr>
          <w:sz w:val="9"/>
          <w:szCs w:val="9"/>
        </w:rPr>
      </w:pPr>
      <w:r w:rsidRPr="00531B9C">
        <w:rPr>
          <w:sz w:val="9"/>
          <w:szCs w:val="9"/>
        </w:rPr>
        <w:t> </w:t>
      </w: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0D1D7D72" w14:textId="77777777" w:rsidTr="00531B9C">
        <w:tc>
          <w:tcPr>
            <w:tcW w:w="150" w:type="pct"/>
            <w:hideMark/>
          </w:tcPr>
          <w:p w14:paraId="6C104BFF" w14:textId="77777777" w:rsidR="00531B9C" w:rsidRPr="00531B9C" w:rsidRDefault="00531B9C" w:rsidP="00531B9C">
            <w:pPr>
              <w:widowControl/>
              <w:autoSpaceDE/>
              <w:autoSpaceDN/>
              <w:rPr>
                <w:sz w:val="24"/>
                <w:szCs w:val="24"/>
              </w:rPr>
            </w:pPr>
            <w:r w:rsidRPr="00531B9C">
              <w:rPr>
                <w:sz w:val="20"/>
                <w:szCs w:val="20"/>
              </w:rPr>
              <w:t>6.</w:t>
            </w:r>
          </w:p>
        </w:tc>
        <w:tc>
          <w:tcPr>
            <w:tcW w:w="50" w:type="pct"/>
            <w:hideMark/>
          </w:tcPr>
          <w:p w14:paraId="484066EE" w14:textId="77777777" w:rsidR="00531B9C" w:rsidRPr="00531B9C" w:rsidRDefault="00531B9C" w:rsidP="00531B9C">
            <w:pPr>
              <w:widowControl/>
              <w:autoSpaceDE/>
              <w:autoSpaceDN/>
              <w:rPr>
                <w:sz w:val="24"/>
                <w:szCs w:val="24"/>
              </w:rPr>
            </w:pPr>
            <w:r w:rsidRPr="00531B9C">
              <w:rPr>
                <w:sz w:val="15"/>
                <w:szCs w:val="15"/>
              </w:rPr>
              <w:t> </w:t>
            </w:r>
          </w:p>
        </w:tc>
        <w:tc>
          <w:tcPr>
            <w:tcW w:w="0" w:type="auto"/>
            <w:hideMark/>
          </w:tcPr>
          <w:p w14:paraId="69B98483" w14:textId="77777777" w:rsidR="00531B9C" w:rsidRPr="00531B9C" w:rsidRDefault="00531B9C" w:rsidP="00531B9C">
            <w:pPr>
              <w:widowControl/>
              <w:autoSpaceDE/>
              <w:autoSpaceDN/>
              <w:rPr>
                <w:sz w:val="24"/>
                <w:szCs w:val="24"/>
              </w:rPr>
            </w:pPr>
            <w:r w:rsidRPr="00531B9C">
              <w:rPr>
                <w:sz w:val="20"/>
                <w:szCs w:val="20"/>
              </w:rPr>
              <w:t xml:space="preserve">For purposes of Section 12 of the Exchange Act, a class of securities shall no longer be considered listed on a national securities exchange upon the effective date of delisting even though the withdrawal of registration is effective at a later time. </w:t>
            </w:r>
          </w:p>
        </w:tc>
      </w:tr>
    </w:tbl>
    <w:p w14:paraId="3F622873" w14:textId="77777777" w:rsidR="00531B9C" w:rsidRPr="00531B9C" w:rsidRDefault="00531B9C" w:rsidP="00531B9C">
      <w:pPr>
        <w:widowControl/>
        <w:autoSpaceDE/>
        <w:autoSpaceDN/>
        <w:rPr>
          <w:sz w:val="9"/>
          <w:szCs w:val="9"/>
        </w:rPr>
      </w:pPr>
      <w:r w:rsidRPr="00531B9C">
        <w:rPr>
          <w:sz w:val="9"/>
          <w:szCs w:val="9"/>
        </w:rPr>
        <w:t> </w:t>
      </w: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2CE7C57F" w14:textId="77777777" w:rsidTr="00531B9C">
        <w:tc>
          <w:tcPr>
            <w:tcW w:w="150" w:type="pct"/>
            <w:hideMark/>
          </w:tcPr>
          <w:p w14:paraId="33B699CC" w14:textId="77777777" w:rsidR="00531B9C" w:rsidRPr="00531B9C" w:rsidRDefault="00531B9C" w:rsidP="00531B9C">
            <w:pPr>
              <w:widowControl/>
              <w:autoSpaceDE/>
              <w:autoSpaceDN/>
              <w:rPr>
                <w:sz w:val="24"/>
                <w:szCs w:val="24"/>
              </w:rPr>
            </w:pPr>
            <w:r w:rsidRPr="00531B9C">
              <w:rPr>
                <w:sz w:val="20"/>
                <w:szCs w:val="20"/>
              </w:rPr>
              <w:t>7.</w:t>
            </w:r>
          </w:p>
        </w:tc>
        <w:tc>
          <w:tcPr>
            <w:tcW w:w="50" w:type="pct"/>
            <w:hideMark/>
          </w:tcPr>
          <w:p w14:paraId="7F36EEAA" w14:textId="77777777" w:rsidR="00531B9C" w:rsidRPr="00531B9C" w:rsidRDefault="00531B9C" w:rsidP="00531B9C">
            <w:pPr>
              <w:widowControl/>
              <w:autoSpaceDE/>
              <w:autoSpaceDN/>
              <w:rPr>
                <w:sz w:val="24"/>
                <w:szCs w:val="24"/>
              </w:rPr>
            </w:pPr>
            <w:r w:rsidRPr="00531B9C">
              <w:rPr>
                <w:sz w:val="15"/>
                <w:szCs w:val="15"/>
              </w:rPr>
              <w:t> </w:t>
            </w:r>
          </w:p>
        </w:tc>
        <w:tc>
          <w:tcPr>
            <w:tcW w:w="0" w:type="auto"/>
            <w:hideMark/>
          </w:tcPr>
          <w:p w14:paraId="796EDB80" w14:textId="77777777" w:rsidR="00531B9C" w:rsidRPr="00531B9C" w:rsidRDefault="00531B9C" w:rsidP="00531B9C">
            <w:pPr>
              <w:widowControl/>
              <w:autoSpaceDE/>
              <w:autoSpaceDN/>
              <w:rPr>
                <w:sz w:val="24"/>
                <w:szCs w:val="24"/>
              </w:rPr>
            </w:pPr>
            <w:r w:rsidRPr="00531B9C">
              <w:rPr>
                <w:sz w:val="20"/>
                <w:szCs w:val="20"/>
              </w:rPr>
              <w:t xml:space="preserve">The issuer’s duty to file any reports under Section 13(a) of the Exchange Act and the rules and regulations thereunder as a result of the security’s registration under Section 12(b) of the Exchange Act shall be suspended upon the effective date of the delisting. If, following the effective date of delisting, the withdrawal of registration under Section 12(b) is delayed by the Commission, an exchange, or an issuer, the issuer shall, within 60 days of such delay, file any reports that would have been required under Section 13(a) and the rules and regulations thereunder, had the Form 25 not been filed. The issuer will also file any subsequent reports required under Section 13(a) for the duration of the delay. </w:t>
            </w:r>
          </w:p>
        </w:tc>
      </w:tr>
    </w:tbl>
    <w:p w14:paraId="529066B0" w14:textId="77777777" w:rsidR="00531B9C" w:rsidRPr="00531B9C" w:rsidRDefault="00531B9C" w:rsidP="00531B9C">
      <w:pPr>
        <w:widowControl/>
        <w:autoSpaceDE/>
        <w:autoSpaceDN/>
        <w:rPr>
          <w:sz w:val="9"/>
          <w:szCs w:val="9"/>
        </w:rPr>
      </w:pPr>
      <w:r w:rsidRPr="00531B9C">
        <w:rPr>
          <w:sz w:val="9"/>
          <w:szCs w:val="9"/>
        </w:rPr>
        <w:t> </w:t>
      </w: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33BACA49" w14:textId="77777777" w:rsidTr="00531B9C">
        <w:tc>
          <w:tcPr>
            <w:tcW w:w="150" w:type="pct"/>
            <w:hideMark/>
          </w:tcPr>
          <w:p w14:paraId="08C047B5" w14:textId="77777777" w:rsidR="00531B9C" w:rsidRPr="00531B9C" w:rsidRDefault="00531B9C" w:rsidP="00531B9C">
            <w:pPr>
              <w:widowControl/>
              <w:autoSpaceDE/>
              <w:autoSpaceDN/>
              <w:rPr>
                <w:sz w:val="24"/>
                <w:szCs w:val="24"/>
              </w:rPr>
            </w:pPr>
            <w:r w:rsidRPr="00531B9C">
              <w:rPr>
                <w:sz w:val="20"/>
                <w:szCs w:val="20"/>
              </w:rPr>
              <w:t>8.</w:t>
            </w:r>
          </w:p>
        </w:tc>
        <w:tc>
          <w:tcPr>
            <w:tcW w:w="50" w:type="pct"/>
            <w:hideMark/>
          </w:tcPr>
          <w:p w14:paraId="538B8F18" w14:textId="77777777" w:rsidR="00531B9C" w:rsidRPr="00531B9C" w:rsidRDefault="00531B9C" w:rsidP="00531B9C">
            <w:pPr>
              <w:widowControl/>
              <w:autoSpaceDE/>
              <w:autoSpaceDN/>
              <w:rPr>
                <w:sz w:val="24"/>
                <w:szCs w:val="24"/>
              </w:rPr>
            </w:pPr>
            <w:r w:rsidRPr="00531B9C">
              <w:rPr>
                <w:sz w:val="15"/>
                <w:szCs w:val="15"/>
              </w:rPr>
              <w:t> </w:t>
            </w:r>
          </w:p>
        </w:tc>
        <w:tc>
          <w:tcPr>
            <w:tcW w:w="0" w:type="auto"/>
            <w:hideMark/>
          </w:tcPr>
          <w:p w14:paraId="2BFD693B" w14:textId="77777777" w:rsidR="00531B9C" w:rsidRPr="00531B9C" w:rsidRDefault="00531B9C" w:rsidP="00531B9C">
            <w:pPr>
              <w:widowControl/>
              <w:autoSpaceDE/>
              <w:autoSpaceDN/>
              <w:rPr>
                <w:sz w:val="24"/>
                <w:szCs w:val="24"/>
              </w:rPr>
            </w:pPr>
            <w:r w:rsidRPr="00531B9C">
              <w:rPr>
                <w:sz w:val="20"/>
                <w:szCs w:val="20"/>
              </w:rPr>
              <w:t xml:space="preserve">An issuer whose reporting responsibilities under Section 13(a) of the Exchange Act are suspended for a class of securities under Rule 12d2-2(d)(5) is, nevertheless, required to file any reports that an issuer with such a class of securities registered under Section 12 of the Exchange Act would be required to file under Section 13(a) if such class of securities: (a) is registered under Section 12(g) of the Exchange Act; or (b) would be registered, or would be required to be registered, under Section 12(g) of the Exchange Act but for the exemption from registration under Section 12(g) provided by Section 12(g)(2)(A) of the Exchange Act. </w:t>
            </w:r>
          </w:p>
        </w:tc>
      </w:tr>
    </w:tbl>
    <w:p w14:paraId="1FEF21CC" w14:textId="77777777" w:rsidR="00531B9C" w:rsidRPr="00531B9C" w:rsidRDefault="00531B9C" w:rsidP="00531B9C">
      <w:pPr>
        <w:widowControl/>
        <w:autoSpaceDE/>
        <w:autoSpaceDN/>
        <w:rPr>
          <w:sz w:val="9"/>
          <w:szCs w:val="9"/>
        </w:rPr>
      </w:pPr>
      <w:r w:rsidRPr="00531B9C">
        <w:rPr>
          <w:sz w:val="9"/>
          <w:szCs w:val="9"/>
        </w:rPr>
        <w:t> </w:t>
      </w: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2059EAC8" w14:textId="77777777" w:rsidTr="00531B9C">
        <w:tc>
          <w:tcPr>
            <w:tcW w:w="150" w:type="pct"/>
            <w:hideMark/>
          </w:tcPr>
          <w:p w14:paraId="33F04954" w14:textId="77777777" w:rsidR="00531B9C" w:rsidRPr="00531B9C" w:rsidRDefault="00531B9C" w:rsidP="00531B9C">
            <w:pPr>
              <w:widowControl/>
              <w:autoSpaceDE/>
              <w:autoSpaceDN/>
              <w:rPr>
                <w:sz w:val="24"/>
                <w:szCs w:val="24"/>
              </w:rPr>
            </w:pPr>
            <w:r w:rsidRPr="00531B9C">
              <w:rPr>
                <w:sz w:val="20"/>
                <w:szCs w:val="20"/>
              </w:rPr>
              <w:t>9.</w:t>
            </w:r>
          </w:p>
        </w:tc>
        <w:tc>
          <w:tcPr>
            <w:tcW w:w="50" w:type="pct"/>
            <w:hideMark/>
          </w:tcPr>
          <w:p w14:paraId="2439FA87" w14:textId="77777777" w:rsidR="00531B9C" w:rsidRPr="00531B9C" w:rsidRDefault="00531B9C" w:rsidP="00531B9C">
            <w:pPr>
              <w:widowControl/>
              <w:autoSpaceDE/>
              <w:autoSpaceDN/>
              <w:rPr>
                <w:sz w:val="24"/>
                <w:szCs w:val="24"/>
              </w:rPr>
            </w:pPr>
            <w:r w:rsidRPr="00531B9C">
              <w:rPr>
                <w:sz w:val="15"/>
                <w:szCs w:val="15"/>
              </w:rPr>
              <w:t> </w:t>
            </w:r>
          </w:p>
        </w:tc>
        <w:tc>
          <w:tcPr>
            <w:tcW w:w="0" w:type="auto"/>
            <w:hideMark/>
          </w:tcPr>
          <w:p w14:paraId="5F4CCCCE" w14:textId="77777777" w:rsidR="00531B9C" w:rsidRPr="00531B9C" w:rsidRDefault="00531B9C" w:rsidP="00531B9C">
            <w:pPr>
              <w:widowControl/>
              <w:autoSpaceDE/>
              <w:autoSpaceDN/>
              <w:rPr>
                <w:sz w:val="24"/>
                <w:szCs w:val="24"/>
              </w:rPr>
            </w:pPr>
            <w:r w:rsidRPr="00531B9C">
              <w:rPr>
                <w:sz w:val="20"/>
                <w:szCs w:val="20"/>
              </w:rPr>
              <w:t xml:space="preserve">An issuer whose reporting responsibilities under Section 13(a) of the Exchange Act are suspended under Rule 12d2-2(d)(5) is, nevertheless, required to file any reports that would be required under Section 15(d) of the Exchange Act but for the fact that the reporting obligations are: (a) suspended for a class of securities under Rule 12d2-2(d)(5); and (b) suspended, terminated, or otherwise absent under Section 12(g) of the Exchange Act. The reporting responsibilities of an issuer under Section 15(d) of the Exchange Act shall continue until the issuer is required to file reports under Section 13(a) of the Exchange Act or the issuer’s reporting responsibilities under Section 15(d) are otherwise suspended. </w:t>
            </w:r>
          </w:p>
        </w:tc>
      </w:tr>
    </w:tbl>
    <w:p w14:paraId="3490BC5F" w14:textId="77777777" w:rsidR="00531B9C" w:rsidRPr="00531B9C" w:rsidRDefault="00531B9C" w:rsidP="00531B9C">
      <w:pPr>
        <w:widowControl/>
        <w:autoSpaceDE/>
        <w:autoSpaceDN/>
        <w:rPr>
          <w:sz w:val="9"/>
          <w:szCs w:val="9"/>
        </w:rPr>
      </w:pPr>
      <w:r w:rsidRPr="00531B9C">
        <w:rPr>
          <w:sz w:val="9"/>
          <w:szCs w:val="9"/>
        </w:rPr>
        <w:t> </w:t>
      </w: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3121FE91" w14:textId="77777777" w:rsidTr="00531B9C">
        <w:tc>
          <w:tcPr>
            <w:tcW w:w="150" w:type="pct"/>
            <w:hideMark/>
          </w:tcPr>
          <w:p w14:paraId="2F974774" w14:textId="77777777" w:rsidR="00531B9C" w:rsidRPr="00531B9C" w:rsidRDefault="00531B9C" w:rsidP="00531B9C">
            <w:pPr>
              <w:widowControl/>
              <w:autoSpaceDE/>
              <w:autoSpaceDN/>
              <w:rPr>
                <w:sz w:val="24"/>
                <w:szCs w:val="24"/>
              </w:rPr>
            </w:pPr>
            <w:r w:rsidRPr="00531B9C">
              <w:rPr>
                <w:sz w:val="20"/>
                <w:szCs w:val="20"/>
              </w:rPr>
              <w:t>10.</w:t>
            </w:r>
          </w:p>
        </w:tc>
        <w:tc>
          <w:tcPr>
            <w:tcW w:w="50" w:type="pct"/>
            <w:hideMark/>
          </w:tcPr>
          <w:p w14:paraId="599CF6CB" w14:textId="77777777" w:rsidR="00531B9C" w:rsidRPr="00531B9C" w:rsidRDefault="00531B9C" w:rsidP="00531B9C">
            <w:pPr>
              <w:widowControl/>
              <w:autoSpaceDE/>
              <w:autoSpaceDN/>
              <w:rPr>
                <w:sz w:val="24"/>
                <w:szCs w:val="24"/>
              </w:rPr>
            </w:pPr>
            <w:r w:rsidRPr="00531B9C">
              <w:rPr>
                <w:sz w:val="15"/>
                <w:szCs w:val="15"/>
              </w:rPr>
              <w:t> </w:t>
            </w:r>
          </w:p>
        </w:tc>
        <w:tc>
          <w:tcPr>
            <w:tcW w:w="0" w:type="auto"/>
            <w:hideMark/>
          </w:tcPr>
          <w:p w14:paraId="75B4B8C9" w14:textId="77777777" w:rsidR="00531B9C" w:rsidRPr="00531B9C" w:rsidRDefault="00531B9C" w:rsidP="00531B9C">
            <w:pPr>
              <w:widowControl/>
              <w:autoSpaceDE/>
              <w:autoSpaceDN/>
              <w:rPr>
                <w:sz w:val="24"/>
                <w:szCs w:val="24"/>
              </w:rPr>
            </w:pPr>
            <w:r w:rsidRPr="00531B9C">
              <w:rPr>
                <w:sz w:val="20"/>
                <w:szCs w:val="20"/>
              </w:rPr>
              <w:t xml:space="preserve">Issuers should determine if they have additional registration and reporting requirements under Section 12(g) of the Exchange Act and reporting obligations pursuant to Section 15(d) of the Exchange Act upon the filing of Form 25. </w:t>
            </w:r>
          </w:p>
        </w:tc>
      </w:tr>
    </w:tbl>
    <w:p w14:paraId="002FCAC9" w14:textId="77777777" w:rsidR="00531B9C" w:rsidRPr="00531B9C" w:rsidRDefault="00531B9C" w:rsidP="00531B9C">
      <w:pPr>
        <w:widowControl/>
        <w:autoSpaceDE/>
        <w:autoSpaceDN/>
        <w:rPr>
          <w:sz w:val="9"/>
          <w:szCs w:val="9"/>
        </w:rPr>
      </w:pPr>
      <w:r w:rsidRPr="00531B9C">
        <w:rPr>
          <w:sz w:val="9"/>
          <w:szCs w:val="9"/>
        </w:rPr>
        <w:t> </w:t>
      </w: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0D080C4C" w14:textId="77777777" w:rsidTr="00531B9C">
        <w:tc>
          <w:tcPr>
            <w:tcW w:w="150" w:type="pct"/>
            <w:hideMark/>
          </w:tcPr>
          <w:p w14:paraId="448326C9" w14:textId="77777777" w:rsidR="00531B9C" w:rsidRPr="00531B9C" w:rsidRDefault="00531B9C" w:rsidP="00531B9C">
            <w:pPr>
              <w:widowControl/>
              <w:autoSpaceDE/>
              <w:autoSpaceDN/>
              <w:rPr>
                <w:sz w:val="24"/>
                <w:szCs w:val="24"/>
              </w:rPr>
            </w:pPr>
            <w:r w:rsidRPr="00531B9C">
              <w:rPr>
                <w:sz w:val="20"/>
                <w:szCs w:val="20"/>
              </w:rPr>
              <w:t>11.</w:t>
            </w:r>
          </w:p>
        </w:tc>
        <w:tc>
          <w:tcPr>
            <w:tcW w:w="50" w:type="pct"/>
            <w:hideMark/>
          </w:tcPr>
          <w:p w14:paraId="7673B579" w14:textId="77777777" w:rsidR="00531B9C" w:rsidRPr="00531B9C" w:rsidRDefault="00531B9C" w:rsidP="00531B9C">
            <w:pPr>
              <w:widowControl/>
              <w:autoSpaceDE/>
              <w:autoSpaceDN/>
              <w:rPr>
                <w:sz w:val="24"/>
                <w:szCs w:val="24"/>
              </w:rPr>
            </w:pPr>
            <w:r w:rsidRPr="00531B9C">
              <w:rPr>
                <w:sz w:val="15"/>
                <w:szCs w:val="15"/>
              </w:rPr>
              <w:t> </w:t>
            </w:r>
          </w:p>
        </w:tc>
        <w:tc>
          <w:tcPr>
            <w:tcW w:w="0" w:type="auto"/>
            <w:hideMark/>
          </w:tcPr>
          <w:p w14:paraId="5005E3FC" w14:textId="77777777" w:rsidR="00531B9C" w:rsidRPr="00531B9C" w:rsidRDefault="00531B9C" w:rsidP="00531B9C">
            <w:pPr>
              <w:widowControl/>
              <w:autoSpaceDE/>
              <w:autoSpaceDN/>
              <w:rPr>
                <w:sz w:val="24"/>
                <w:szCs w:val="24"/>
              </w:rPr>
            </w:pPr>
            <w:r w:rsidRPr="00531B9C">
              <w:rPr>
                <w:sz w:val="20"/>
                <w:szCs w:val="20"/>
              </w:rPr>
              <w:t xml:space="preserve">In any case where the Commission has commenced a proceeding under Section 12 of the Exchange Act prior to the withdrawal of the registration of a class of securities becoming effective, such security will remain registered under Section 12(b) of the Exchange Act until the final decision of such proceeding, or until the Commission otherwise determines to suspend the effective date of, or revoke, the registration of a class of securities. </w:t>
            </w:r>
          </w:p>
        </w:tc>
      </w:tr>
    </w:tbl>
    <w:p w14:paraId="08CC799C" w14:textId="77777777" w:rsidR="00531B9C" w:rsidRPr="00531B9C" w:rsidRDefault="00531B9C" w:rsidP="00531B9C">
      <w:pPr>
        <w:widowControl/>
        <w:autoSpaceDE/>
        <w:autoSpaceDN/>
        <w:rPr>
          <w:sz w:val="9"/>
          <w:szCs w:val="9"/>
        </w:rPr>
      </w:pPr>
      <w:r w:rsidRPr="00531B9C">
        <w:rPr>
          <w:sz w:val="9"/>
          <w:szCs w:val="9"/>
        </w:rPr>
        <w:t> </w:t>
      </w:r>
    </w:p>
    <w:tbl>
      <w:tblPr>
        <w:tblW w:w="5000" w:type="pct"/>
        <w:tblCellMar>
          <w:left w:w="0" w:type="dxa"/>
          <w:right w:w="0" w:type="dxa"/>
        </w:tblCellMar>
        <w:tblLook w:val="04A0" w:firstRow="1" w:lastRow="0" w:firstColumn="1" w:lastColumn="0" w:noHBand="0" w:noVBand="1"/>
      </w:tblPr>
      <w:tblGrid>
        <w:gridCol w:w="332"/>
        <w:gridCol w:w="111"/>
        <w:gridCol w:w="10637"/>
      </w:tblGrid>
      <w:tr w:rsidR="00531B9C" w:rsidRPr="00531B9C" w14:paraId="4FF54ED6" w14:textId="77777777" w:rsidTr="00531B9C">
        <w:tc>
          <w:tcPr>
            <w:tcW w:w="150" w:type="pct"/>
            <w:hideMark/>
          </w:tcPr>
          <w:p w14:paraId="2761F96A" w14:textId="77777777" w:rsidR="00531B9C" w:rsidRPr="00531B9C" w:rsidRDefault="00531B9C" w:rsidP="00531B9C">
            <w:pPr>
              <w:widowControl/>
              <w:autoSpaceDE/>
              <w:autoSpaceDN/>
              <w:rPr>
                <w:sz w:val="24"/>
                <w:szCs w:val="24"/>
              </w:rPr>
            </w:pPr>
            <w:r w:rsidRPr="00531B9C">
              <w:rPr>
                <w:sz w:val="20"/>
                <w:szCs w:val="20"/>
              </w:rPr>
              <w:t>12.</w:t>
            </w:r>
          </w:p>
        </w:tc>
        <w:tc>
          <w:tcPr>
            <w:tcW w:w="50" w:type="pct"/>
            <w:hideMark/>
          </w:tcPr>
          <w:p w14:paraId="74AA23A2" w14:textId="77777777" w:rsidR="00531B9C" w:rsidRPr="00531B9C" w:rsidRDefault="00531B9C" w:rsidP="00531B9C">
            <w:pPr>
              <w:widowControl/>
              <w:autoSpaceDE/>
              <w:autoSpaceDN/>
              <w:rPr>
                <w:sz w:val="24"/>
                <w:szCs w:val="24"/>
              </w:rPr>
            </w:pPr>
            <w:r w:rsidRPr="00531B9C">
              <w:rPr>
                <w:sz w:val="15"/>
                <w:szCs w:val="15"/>
              </w:rPr>
              <w:t> </w:t>
            </w:r>
          </w:p>
        </w:tc>
        <w:tc>
          <w:tcPr>
            <w:tcW w:w="0" w:type="auto"/>
            <w:hideMark/>
          </w:tcPr>
          <w:p w14:paraId="3E25ECAC" w14:textId="77777777" w:rsidR="00531B9C" w:rsidRPr="00531B9C" w:rsidRDefault="00531B9C" w:rsidP="00531B9C">
            <w:pPr>
              <w:widowControl/>
              <w:autoSpaceDE/>
              <w:autoSpaceDN/>
              <w:rPr>
                <w:sz w:val="24"/>
                <w:szCs w:val="24"/>
              </w:rPr>
            </w:pPr>
            <w:r w:rsidRPr="00531B9C">
              <w:rPr>
                <w:sz w:val="20"/>
                <w:szCs w:val="20"/>
              </w:rPr>
              <w:t xml:space="preserve">In the event removal is being effected under Rule 12d2-2(a)(3) and the national securities exchange has admitted or intends to admit a successor security to trading under the temporary exemption provided for by Exchange Act Rule 12a-5 (17 CFR 240.12a-5) the Form 25 shall be filed with the Commission in a manner that ensures that the delisting does not become effective until the successor security is removed from its exempt status. </w:t>
            </w:r>
          </w:p>
        </w:tc>
      </w:tr>
    </w:tbl>
    <w:p w14:paraId="04AC24BA" w14:textId="28A5ACF5" w:rsidR="00BE48BA" w:rsidRPr="00BE48BA" w:rsidRDefault="00BE48BA" w:rsidP="00531B9C">
      <w:pPr>
        <w:pStyle w:val="Heading1"/>
        <w:spacing w:before="61"/>
        <w:ind w:left="4480" w:right="0"/>
        <w:jc w:val="left"/>
        <w:rPr>
          <w:rFonts w:eastAsiaTheme="minorHAnsi"/>
          <w:sz w:val="20"/>
          <w:szCs w:val="20"/>
        </w:rPr>
      </w:pPr>
    </w:p>
    <w:sectPr w:rsidR="00BE48BA" w:rsidRPr="00BE48BA">
      <w:pgSz w:w="12240" w:h="15840"/>
      <w:pgMar w:top="66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5349"/>
    <w:multiLevelType w:val="hybridMultilevel"/>
    <w:tmpl w:val="A8D218E4"/>
    <w:lvl w:ilvl="0" w:tplc="421E0C02">
      <w:start w:val="1"/>
      <w:numFmt w:val="decimal"/>
      <w:lvlText w:val="%1."/>
      <w:lvlJc w:val="left"/>
      <w:pPr>
        <w:ind w:left="160" w:hanging="201"/>
        <w:jc w:val="left"/>
      </w:pPr>
      <w:rPr>
        <w:rFonts w:ascii="Times New Roman" w:eastAsia="Times New Roman" w:hAnsi="Times New Roman" w:cs="Times New Roman" w:hint="default"/>
        <w:spacing w:val="-131"/>
        <w:w w:val="100"/>
        <w:sz w:val="20"/>
        <w:szCs w:val="20"/>
      </w:rPr>
    </w:lvl>
    <w:lvl w:ilvl="1" w:tplc="E47276C0">
      <w:start w:val="1"/>
      <w:numFmt w:val="lowerLetter"/>
      <w:lvlText w:val="(%2)"/>
      <w:lvlJc w:val="left"/>
      <w:pPr>
        <w:ind w:left="1152" w:hanging="273"/>
        <w:jc w:val="left"/>
      </w:pPr>
      <w:rPr>
        <w:rFonts w:ascii="Times New Roman" w:eastAsia="Times New Roman" w:hAnsi="Times New Roman" w:cs="Times New Roman" w:hint="default"/>
        <w:w w:val="100"/>
        <w:sz w:val="20"/>
        <w:szCs w:val="20"/>
      </w:rPr>
    </w:lvl>
    <w:lvl w:ilvl="2" w:tplc="4600F7D0">
      <w:numFmt w:val="bullet"/>
      <w:lvlText w:val="•"/>
      <w:lvlJc w:val="left"/>
      <w:pPr>
        <w:ind w:left="2262" w:hanging="273"/>
      </w:pPr>
      <w:rPr>
        <w:rFonts w:hint="default"/>
      </w:rPr>
    </w:lvl>
    <w:lvl w:ilvl="3" w:tplc="7E98E94A">
      <w:numFmt w:val="bullet"/>
      <w:lvlText w:val="•"/>
      <w:lvlJc w:val="left"/>
      <w:pPr>
        <w:ind w:left="3364" w:hanging="273"/>
      </w:pPr>
      <w:rPr>
        <w:rFonts w:hint="default"/>
      </w:rPr>
    </w:lvl>
    <w:lvl w:ilvl="4" w:tplc="71264E46">
      <w:numFmt w:val="bullet"/>
      <w:lvlText w:val="•"/>
      <w:lvlJc w:val="left"/>
      <w:pPr>
        <w:ind w:left="4466" w:hanging="273"/>
      </w:pPr>
      <w:rPr>
        <w:rFonts w:hint="default"/>
      </w:rPr>
    </w:lvl>
    <w:lvl w:ilvl="5" w:tplc="528AEC5E">
      <w:numFmt w:val="bullet"/>
      <w:lvlText w:val="•"/>
      <w:lvlJc w:val="left"/>
      <w:pPr>
        <w:ind w:left="5568" w:hanging="273"/>
      </w:pPr>
      <w:rPr>
        <w:rFonts w:hint="default"/>
      </w:rPr>
    </w:lvl>
    <w:lvl w:ilvl="6" w:tplc="9B126ED2">
      <w:numFmt w:val="bullet"/>
      <w:lvlText w:val="•"/>
      <w:lvlJc w:val="left"/>
      <w:pPr>
        <w:ind w:left="6671" w:hanging="273"/>
      </w:pPr>
      <w:rPr>
        <w:rFonts w:hint="default"/>
      </w:rPr>
    </w:lvl>
    <w:lvl w:ilvl="7" w:tplc="D3B07DC8">
      <w:numFmt w:val="bullet"/>
      <w:lvlText w:val="•"/>
      <w:lvlJc w:val="left"/>
      <w:pPr>
        <w:ind w:left="7773" w:hanging="273"/>
      </w:pPr>
      <w:rPr>
        <w:rFonts w:hint="default"/>
      </w:rPr>
    </w:lvl>
    <w:lvl w:ilvl="8" w:tplc="C63A2172">
      <w:numFmt w:val="bullet"/>
      <w:lvlText w:val="•"/>
      <w:lvlJc w:val="left"/>
      <w:pPr>
        <w:ind w:left="8875" w:hanging="273"/>
      </w:pPr>
      <w:rPr>
        <w:rFonts w:hint="default"/>
      </w:rPr>
    </w:lvl>
  </w:abstractNum>
  <w:num w:numId="1" w16cid:durableId="174918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E46A2"/>
    <w:rsid w:val="001E46A2"/>
    <w:rsid w:val="00390DFA"/>
    <w:rsid w:val="00531B9C"/>
    <w:rsid w:val="00642DDB"/>
    <w:rsid w:val="0077445B"/>
    <w:rsid w:val="008321AF"/>
    <w:rsid w:val="00A87CB8"/>
    <w:rsid w:val="00BE48BA"/>
    <w:rsid w:val="00DC31A5"/>
    <w:rsid w:val="00E9547F"/>
    <w:rsid w:val="00FB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38E2EC2"/>
  <w15:docId w15:val="{0B67FD95-951F-406E-8D60-196766F2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ind w:left="1378" w:right="2168"/>
      <w:jc w:val="center"/>
      <w:outlineLvl w:val="0"/>
    </w:pPr>
    <w:rPr>
      <w:b/>
      <w:bCs/>
      <w:sz w:val="24"/>
      <w:szCs w:val="24"/>
    </w:rPr>
  </w:style>
  <w:style w:type="paragraph" w:styleId="Heading2">
    <w:name w:val="heading 2"/>
    <w:basedOn w:val="Normal"/>
    <w:uiPriority w:val="9"/>
    <w:unhideWhenUsed/>
    <w:qFormat/>
    <w:pPr>
      <w:spacing w:before="10"/>
      <w:ind w:left="1714" w:right="1667"/>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pPr>
      <w:spacing w:line="210" w:lineRule="exact"/>
      <w:ind w:left="64"/>
    </w:pPr>
  </w:style>
  <w:style w:type="paragraph" w:styleId="NormalWeb">
    <w:name w:val="Normal (Web)"/>
    <w:basedOn w:val="Normal"/>
    <w:uiPriority w:val="99"/>
    <w:semiHidden/>
    <w:unhideWhenUsed/>
    <w:rsid w:val="00531B9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6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Form 25</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25</dc:title>
  <dc:subject>Notification of the removal from listing and registration of matured, redeemed or retired securities</dc:subject>
  <dc:creator>U.S. Securities and Exchange Commission</dc:creator>
  <cp:keywords>SEC 1654; Date.modified: 2012-01-03</cp:keywords>
  <cp:lastModifiedBy>Udhay</cp:lastModifiedBy>
  <cp:revision>9</cp:revision>
  <cp:lastPrinted>2023-08-22T16:29:00Z</cp:lastPrinted>
  <dcterms:created xsi:type="dcterms:W3CDTF">2019-06-26T09:11:00Z</dcterms:created>
  <dcterms:modified xsi:type="dcterms:W3CDTF">2023-08-22T17:03:00Z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2010-01-07T00:00:00Z</vt:filetime>
  </property>
  <property fmtid="{D5CDD505-2E9C-101B-9397-08002B2CF9AE}" pid="3" name="Creator">
    <vt:lpwstr>Adobe PageMaker 6.52</vt:lpwstr>
  </property>
  <property fmtid="{D5CDD505-2E9C-101B-9397-08002B2CF9AE}" pid="4" name="LastSaved">
    <vt:filetime>2019-06-26T00:00:00Z</vt:filetime>
  </property>
</Properties>
</file>