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1CA35" w14:textId="77777777" w:rsidR="008C1B81" w:rsidRDefault="00000000">
      <w:pPr>
        <w:pStyle w:val="BodyText"/>
        <w:spacing w:line="203" w:lineRule="exact"/>
        <w:ind w:left="8500"/>
      </w:pPr>
      <w:r>
        <w:rPr>
          <w:position w:val="-4"/>
        </w:rPr>
      </w:r>
      <w:r>
        <w:rPr>
          <w:position w:val="-4"/>
        </w:rPr>
        <w:pict w14:anchorId="14ABE74B">
          <v:shapetype id="_x0000_t202" coordsize="21600,21600" o:spt="202" path="m,l,21600r21600,l21600,xe">
            <v:stroke joinstyle="miter"/>
            <v:path gradientshapeok="t" o:connecttype="rect"/>
          </v:shapetype>
          <v:shape id="_x0000_s2076" type="#_x0000_t202" style="width:125.55pt;height:9.65pt;mso-left-percent:-10001;mso-top-percent:-10001;mso-position-horizontal:absolute;mso-position-horizontal-relative:char;mso-position-vertical:absolute;mso-position-vertical-relative:line;mso-left-percent:-10001;mso-top-percent:-10001" filled="f" strokecolor="#231f20" strokeweight=".5pt">
            <v:textbox inset="0,0,0,0">
              <w:txbxContent>
                <w:p w14:paraId="3D022A3A" w14:textId="77777777" w:rsidR="008C1B81" w:rsidRDefault="007B373C">
                  <w:pPr>
                    <w:spacing w:line="183" w:lineRule="exact"/>
                    <w:ind w:left="327"/>
                    <w:rPr>
                      <w:rFonts w:ascii="Calibri"/>
                      <w:sz w:val="18"/>
                    </w:rPr>
                  </w:pPr>
                  <w:r>
                    <w:rPr>
                      <w:rFonts w:ascii="Calibri"/>
                      <w:color w:val="231F20"/>
                      <w:sz w:val="18"/>
                    </w:rPr>
                    <w:t>OMB APPROVAL</w:t>
                  </w:r>
                </w:p>
              </w:txbxContent>
            </v:textbox>
            <w10:anchorlock/>
          </v:shape>
        </w:pict>
      </w:r>
    </w:p>
    <w:p w14:paraId="4B271018" w14:textId="77777777" w:rsidR="008C1B81" w:rsidRDefault="008C1B81">
      <w:pPr>
        <w:pStyle w:val="BodyText"/>
      </w:pPr>
    </w:p>
    <w:p w14:paraId="34A15571" w14:textId="77777777" w:rsidR="008C1B81" w:rsidRDefault="008C1B81">
      <w:pPr>
        <w:pStyle w:val="BodyText"/>
      </w:pPr>
    </w:p>
    <w:p w14:paraId="2C57B009" w14:textId="77777777" w:rsidR="008C1B81" w:rsidRDefault="008C1B81">
      <w:pPr>
        <w:pStyle w:val="BodyText"/>
        <w:spacing w:before="1"/>
        <w:rPr>
          <w:sz w:val="22"/>
        </w:rPr>
      </w:pPr>
    </w:p>
    <w:p w14:paraId="3B0916E5" w14:textId="77777777" w:rsidR="008C1B81" w:rsidRDefault="00000000">
      <w:pPr>
        <w:ind w:left="3460" w:right="3361"/>
        <w:jc w:val="center"/>
        <w:rPr>
          <w:sz w:val="18"/>
        </w:rPr>
      </w:pPr>
      <w:r>
        <w:pict w14:anchorId="21D4F7AC">
          <v:shape id="_x0000_s2075" type="#_x0000_t202" style="position:absolute;left:0;text-align:left;margin-left:450.25pt;margin-top:-36.6pt;width:125.55pt;height:49.5pt;z-index:251644928;mso-position-horizontal-relative:page" filled="f" strokecolor="#231f20" strokeweight=".5pt">
            <v:textbox inset="0,0,0,0">
              <w:txbxContent>
                <w:p w14:paraId="7B78A9B3" w14:textId="77777777" w:rsidR="008C1B81" w:rsidRDefault="007B373C">
                  <w:pPr>
                    <w:tabs>
                      <w:tab w:val="right" w:pos="2278"/>
                    </w:tabs>
                    <w:spacing w:before="41" w:line="218" w:lineRule="exact"/>
                    <w:ind w:left="28"/>
                    <w:rPr>
                      <w:rFonts w:ascii="Calibri"/>
                      <w:sz w:val="18"/>
                    </w:rPr>
                  </w:pPr>
                  <w:r>
                    <w:rPr>
                      <w:rFonts w:ascii="Calibri"/>
                      <w:color w:val="231F20"/>
                      <w:sz w:val="18"/>
                    </w:rPr>
                    <w:t>OMB</w:t>
                  </w:r>
                  <w:r>
                    <w:rPr>
                      <w:rFonts w:ascii="Calibri"/>
                      <w:color w:val="231F20"/>
                      <w:spacing w:val="-2"/>
                      <w:sz w:val="18"/>
                    </w:rPr>
                    <w:t xml:space="preserve"> </w:t>
                  </w:r>
                  <w:r>
                    <w:rPr>
                      <w:rFonts w:ascii="Calibri"/>
                      <w:color w:val="231F20"/>
                      <w:sz w:val="18"/>
                    </w:rPr>
                    <w:t>Number:</w:t>
                  </w:r>
                  <w:r>
                    <w:rPr>
                      <w:rFonts w:ascii="Calibri"/>
                      <w:color w:val="231F20"/>
                      <w:sz w:val="18"/>
                    </w:rPr>
                    <w:tab/>
                    <w:t>3235-0070</w:t>
                  </w:r>
                </w:p>
                <w:p w14:paraId="5F133275" w14:textId="77777777" w:rsidR="008C1B81" w:rsidRDefault="007B373C">
                  <w:pPr>
                    <w:tabs>
                      <w:tab w:val="left" w:pos="1125"/>
                      <w:tab w:val="right" w:leader="dot" w:pos="2304"/>
                    </w:tabs>
                    <w:spacing w:before="2" w:line="235" w:lineRule="auto"/>
                    <w:ind w:left="28" w:right="84"/>
                    <w:rPr>
                      <w:rFonts w:ascii="Calibri"/>
                      <w:sz w:val="18"/>
                    </w:rPr>
                  </w:pPr>
                  <w:r>
                    <w:rPr>
                      <w:rFonts w:ascii="Calibri"/>
                      <w:color w:val="231F20"/>
                      <w:sz w:val="18"/>
                    </w:rPr>
                    <w:t>Expires:</w:t>
                  </w:r>
                  <w:r>
                    <w:rPr>
                      <w:rFonts w:ascii="Calibri"/>
                      <w:color w:val="231F20"/>
                      <w:sz w:val="18"/>
                    </w:rPr>
                    <w:tab/>
                    <w:t xml:space="preserve">October 31, </w:t>
                  </w:r>
                  <w:r>
                    <w:rPr>
                      <w:rFonts w:ascii="Calibri"/>
                      <w:color w:val="231F20"/>
                      <w:spacing w:val="-4"/>
                      <w:sz w:val="18"/>
                    </w:rPr>
                    <w:t xml:space="preserve">2021 </w:t>
                  </w:r>
                  <w:r>
                    <w:rPr>
                      <w:rFonts w:ascii="Calibri"/>
                      <w:color w:val="231F20"/>
                      <w:sz w:val="18"/>
                    </w:rPr>
                    <w:t xml:space="preserve">Estimated </w:t>
                  </w:r>
                  <w:proofErr w:type="gramStart"/>
                  <w:r>
                    <w:rPr>
                      <w:rFonts w:ascii="Calibri"/>
                      <w:color w:val="231F20"/>
                      <w:sz w:val="18"/>
                    </w:rPr>
                    <w:t>average  burden</w:t>
                  </w:r>
                  <w:proofErr w:type="gramEnd"/>
                  <w:r>
                    <w:rPr>
                      <w:rFonts w:ascii="Calibri"/>
                      <w:color w:val="231F20"/>
                      <w:sz w:val="18"/>
                    </w:rPr>
                    <w:t xml:space="preserve"> hours</w:t>
                  </w:r>
                  <w:r>
                    <w:rPr>
                      <w:rFonts w:ascii="Calibri"/>
                      <w:color w:val="231F20"/>
                      <w:spacing w:val="-1"/>
                      <w:sz w:val="18"/>
                    </w:rPr>
                    <w:t xml:space="preserve"> </w:t>
                  </w:r>
                  <w:r>
                    <w:rPr>
                      <w:rFonts w:ascii="Calibri"/>
                      <w:color w:val="231F20"/>
                      <w:sz w:val="18"/>
                    </w:rPr>
                    <w:t>per</w:t>
                  </w:r>
                  <w:r>
                    <w:rPr>
                      <w:rFonts w:ascii="Calibri"/>
                      <w:color w:val="231F20"/>
                      <w:spacing w:val="-1"/>
                      <w:sz w:val="18"/>
                    </w:rPr>
                    <w:t xml:space="preserve"> </w:t>
                  </w:r>
                  <w:r>
                    <w:rPr>
                      <w:rFonts w:ascii="Calibri"/>
                      <w:color w:val="231F20"/>
                      <w:sz w:val="18"/>
                    </w:rPr>
                    <w:t>response</w:t>
                  </w:r>
                  <w:r>
                    <w:rPr>
                      <w:rFonts w:ascii="Calibri"/>
                      <w:color w:val="231F20"/>
                      <w:sz w:val="18"/>
                    </w:rPr>
                    <w:tab/>
                    <w:t>190.42</w:t>
                  </w:r>
                </w:p>
              </w:txbxContent>
            </v:textbox>
            <w10:wrap anchorx="page"/>
          </v:shape>
        </w:pict>
      </w:r>
      <w:r w:rsidR="007B373C">
        <w:rPr>
          <w:color w:val="231F20"/>
          <w:sz w:val="18"/>
        </w:rPr>
        <w:t>UNITED STATES</w:t>
      </w:r>
    </w:p>
    <w:p w14:paraId="66C02FEC" w14:textId="77777777" w:rsidR="008C1B81" w:rsidRDefault="007B373C">
      <w:pPr>
        <w:spacing w:before="9"/>
        <w:ind w:left="3460" w:right="3361"/>
        <w:jc w:val="center"/>
        <w:rPr>
          <w:sz w:val="18"/>
        </w:rPr>
      </w:pPr>
      <w:r>
        <w:rPr>
          <w:color w:val="231F20"/>
          <w:sz w:val="18"/>
        </w:rPr>
        <w:t>SECURITIES AND EXCHANGE COMMISSION</w:t>
      </w:r>
    </w:p>
    <w:p w14:paraId="75FB5DAD" w14:textId="77777777" w:rsidR="008C1B81" w:rsidRDefault="007B373C">
      <w:pPr>
        <w:spacing w:before="33"/>
        <w:ind w:left="3460" w:right="3318"/>
        <w:jc w:val="center"/>
        <w:rPr>
          <w:sz w:val="18"/>
        </w:rPr>
      </w:pPr>
      <w:r>
        <w:rPr>
          <w:color w:val="231F20"/>
          <w:sz w:val="18"/>
        </w:rPr>
        <w:t>Washington, D.C. 20549</w:t>
      </w:r>
    </w:p>
    <w:p w14:paraId="4745BA19" w14:textId="77777777" w:rsidR="008C1B81" w:rsidRDefault="008C1B81">
      <w:pPr>
        <w:pStyle w:val="BodyText"/>
        <w:rPr>
          <w:sz w:val="24"/>
        </w:rPr>
      </w:pPr>
    </w:p>
    <w:p w14:paraId="59011B7C" w14:textId="77777777" w:rsidR="008C1B81" w:rsidRDefault="007B373C">
      <w:pPr>
        <w:spacing w:line="321" w:lineRule="exact"/>
        <w:ind w:left="3460" w:right="3361"/>
        <w:jc w:val="center"/>
        <w:rPr>
          <w:sz w:val="28"/>
        </w:rPr>
      </w:pPr>
      <w:r>
        <w:rPr>
          <w:color w:val="231F20"/>
          <w:sz w:val="28"/>
        </w:rPr>
        <w:t>FORM 10-Q</w:t>
      </w:r>
    </w:p>
    <w:p w14:paraId="1A884C0D" w14:textId="77777777" w:rsidR="008C1B81" w:rsidRDefault="007B373C">
      <w:pPr>
        <w:pStyle w:val="BodyText"/>
        <w:spacing w:line="252" w:lineRule="exact"/>
        <w:ind w:left="220"/>
      </w:pPr>
      <w:r>
        <w:rPr>
          <w:color w:val="231F20"/>
          <w:sz w:val="22"/>
        </w:rPr>
        <w:t>(</w:t>
      </w:r>
      <w:r>
        <w:rPr>
          <w:color w:val="231F20"/>
        </w:rPr>
        <w:t>Mark One)</w:t>
      </w:r>
    </w:p>
    <w:p w14:paraId="79DA46B1" w14:textId="77777777" w:rsidR="008C1B81" w:rsidRDefault="008C1B81">
      <w:pPr>
        <w:pStyle w:val="BodyText"/>
        <w:spacing w:before="5"/>
        <w:rPr>
          <w:sz w:val="13"/>
        </w:rPr>
      </w:pPr>
    </w:p>
    <w:p w14:paraId="45D6E871" w14:textId="77777777" w:rsidR="008C1B81" w:rsidRDefault="007B373C">
      <w:pPr>
        <w:pStyle w:val="BodyText"/>
        <w:spacing w:before="91"/>
        <w:ind w:left="220"/>
      </w:pPr>
      <w:proofErr w:type="gramStart"/>
      <w:r>
        <w:rPr>
          <w:color w:val="231F20"/>
        </w:rPr>
        <w:t>[ ]</w:t>
      </w:r>
      <w:proofErr w:type="gramEnd"/>
      <w:r>
        <w:rPr>
          <w:color w:val="231F20"/>
        </w:rPr>
        <w:t xml:space="preserve"> QUARTERLY REPORT PURSUANT TO SECTION 13 OR 15(d) OF THE SECURITIES EXCHANGE ACT OF 1934</w:t>
      </w:r>
    </w:p>
    <w:p w14:paraId="609FFF81" w14:textId="77777777" w:rsidR="008C1B81" w:rsidRDefault="008C1B81">
      <w:pPr>
        <w:pStyle w:val="BodyText"/>
        <w:spacing w:before="9"/>
        <w:rPr>
          <w:sz w:val="21"/>
        </w:rPr>
      </w:pPr>
    </w:p>
    <w:p w14:paraId="7519EA80" w14:textId="77777777" w:rsidR="008C1B81" w:rsidRDefault="007B373C">
      <w:pPr>
        <w:pStyle w:val="BodyText"/>
        <w:tabs>
          <w:tab w:val="left" w:pos="11019"/>
        </w:tabs>
        <w:ind w:left="220"/>
      </w:pPr>
      <w:r>
        <w:rPr>
          <w:color w:val="231F20"/>
        </w:rPr>
        <w:t>For the quarterly period</w:t>
      </w:r>
      <w:r>
        <w:rPr>
          <w:color w:val="231F20"/>
          <w:spacing w:val="-10"/>
        </w:rPr>
        <w:t xml:space="preserve"> </w:t>
      </w:r>
      <w:r>
        <w:rPr>
          <w:color w:val="231F20"/>
        </w:rPr>
        <w:t>ended</w:t>
      </w:r>
      <w:r>
        <w:rPr>
          <w:color w:val="231F20"/>
          <w:spacing w:val="-2"/>
        </w:rPr>
        <w:t xml:space="preserve"> </w:t>
      </w:r>
      <w:r>
        <w:rPr>
          <w:color w:val="231F20"/>
          <w:u w:val="single" w:color="231F20"/>
        </w:rPr>
        <w:t xml:space="preserve"> </w:t>
      </w:r>
      <w:r>
        <w:rPr>
          <w:color w:val="231F20"/>
          <w:u w:val="single" w:color="231F20"/>
        </w:rPr>
        <w:tab/>
      </w:r>
    </w:p>
    <w:p w14:paraId="7E462D41" w14:textId="77777777" w:rsidR="008C1B81" w:rsidRDefault="007B373C">
      <w:pPr>
        <w:pStyle w:val="BodyText"/>
        <w:spacing w:before="10"/>
        <w:ind w:left="3460" w:right="3360"/>
        <w:jc w:val="center"/>
      </w:pPr>
      <w:r>
        <w:rPr>
          <w:color w:val="231F20"/>
        </w:rPr>
        <w:t>or</w:t>
      </w:r>
    </w:p>
    <w:p w14:paraId="65430116" w14:textId="77777777" w:rsidR="008C1B81" w:rsidRDefault="008C1B81">
      <w:pPr>
        <w:pStyle w:val="BodyText"/>
        <w:spacing w:before="8"/>
        <w:rPr>
          <w:sz w:val="21"/>
        </w:rPr>
      </w:pPr>
    </w:p>
    <w:p w14:paraId="568D872D" w14:textId="77777777" w:rsidR="008C1B81" w:rsidRDefault="007B373C">
      <w:pPr>
        <w:pStyle w:val="BodyText"/>
        <w:ind w:left="219"/>
      </w:pPr>
      <w:proofErr w:type="gramStart"/>
      <w:r>
        <w:rPr>
          <w:color w:val="231F20"/>
        </w:rPr>
        <w:t>[ ]</w:t>
      </w:r>
      <w:proofErr w:type="gramEnd"/>
      <w:r>
        <w:rPr>
          <w:color w:val="231F20"/>
        </w:rPr>
        <w:t xml:space="preserve"> TRANSITION REPORT PURSUANT TO SECTION 13 OR 15(d) OF THE SECURITIES EXCHANGE ACT OF 1934</w:t>
      </w:r>
    </w:p>
    <w:p w14:paraId="0E87AF8E" w14:textId="77777777" w:rsidR="008C1B81" w:rsidRDefault="008C1B81">
      <w:pPr>
        <w:pStyle w:val="BodyText"/>
        <w:spacing w:before="9"/>
        <w:rPr>
          <w:sz w:val="21"/>
        </w:rPr>
      </w:pPr>
    </w:p>
    <w:p w14:paraId="066684C6" w14:textId="77777777" w:rsidR="008C1B81" w:rsidRDefault="007B373C">
      <w:pPr>
        <w:pStyle w:val="BodyText"/>
        <w:tabs>
          <w:tab w:val="left" w:pos="6667"/>
          <w:tab w:val="left" w:pos="11012"/>
        </w:tabs>
        <w:ind w:left="219"/>
      </w:pPr>
      <w:r>
        <w:rPr>
          <w:color w:val="231F20"/>
        </w:rPr>
        <w:t>For the transition</w:t>
      </w:r>
      <w:r>
        <w:rPr>
          <w:color w:val="231F20"/>
          <w:spacing w:val="-2"/>
        </w:rPr>
        <w:t xml:space="preserve"> </w:t>
      </w:r>
      <w:r>
        <w:rPr>
          <w:color w:val="231F20"/>
        </w:rPr>
        <w:t>period</w:t>
      </w:r>
      <w:r>
        <w:rPr>
          <w:color w:val="231F20"/>
          <w:spacing w:val="-1"/>
        </w:rPr>
        <w:t xml:space="preserve"> </w:t>
      </w:r>
      <w:r>
        <w:rPr>
          <w:color w:val="231F20"/>
        </w:rPr>
        <w:t>from</w:t>
      </w:r>
      <w:r>
        <w:rPr>
          <w:color w:val="231F20"/>
          <w:u w:val="single" w:color="231F20"/>
        </w:rPr>
        <w:t xml:space="preserve"> </w:t>
      </w:r>
      <w:r>
        <w:rPr>
          <w:color w:val="231F20"/>
          <w:u w:val="single" w:color="231F20"/>
        </w:rPr>
        <w:tab/>
      </w:r>
      <w:r>
        <w:rPr>
          <w:color w:val="231F20"/>
        </w:rPr>
        <w:t>to</w:t>
      </w:r>
      <w:r>
        <w:rPr>
          <w:color w:val="231F20"/>
          <w:u w:val="single" w:color="231F20"/>
        </w:rPr>
        <w:t xml:space="preserve"> </w:t>
      </w:r>
      <w:r>
        <w:rPr>
          <w:color w:val="231F20"/>
          <w:u w:val="single" w:color="231F20"/>
        </w:rPr>
        <w:tab/>
      </w:r>
    </w:p>
    <w:p w14:paraId="26005D86" w14:textId="77777777" w:rsidR="008C1B81" w:rsidRDefault="008C1B81">
      <w:pPr>
        <w:pStyle w:val="BodyText"/>
        <w:spacing w:before="9"/>
        <w:rPr>
          <w:sz w:val="13"/>
        </w:rPr>
      </w:pPr>
    </w:p>
    <w:p w14:paraId="77109CFE" w14:textId="77777777" w:rsidR="008C1B81" w:rsidRDefault="007B373C">
      <w:pPr>
        <w:pStyle w:val="BodyText"/>
        <w:tabs>
          <w:tab w:val="left" w:pos="11019"/>
        </w:tabs>
        <w:spacing w:before="91"/>
        <w:ind w:left="220"/>
      </w:pPr>
      <w:r>
        <w:rPr>
          <w:color w:val="231F20"/>
        </w:rPr>
        <w:t>Commission File</w:t>
      </w:r>
      <w:r>
        <w:rPr>
          <w:color w:val="231F20"/>
          <w:spacing w:val="-25"/>
        </w:rPr>
        <w:t xml:space="preserve"> </w:t>
      </w:r>
      <w:r>
        <w:rPr>
          <w:color w:val="231F20"/>
        </w:rPr>
        <w:t xml:space="preserve">Number: </w:t>
      </w:r>
      <w:r>
        <w:rPr>
          <w:color w:val="231F20"/>
          <w:spacing w:val="-14"/>
        </w:rPr>
        <w:t xml:space="preserve"> </w:t>
      </w:r>
      <w:r>
        <w:rPr>
          <w:color w:val="231F20"/>
          <w:u w:val="single" w:color="231F20"/>
        </w:rPr>
        <w:t xml:space="preserve"> </w:t>
      </w:r>
      <w:r>
        <w:rPr>
          <w:color w:val="231F20"/>
          <w:u w:val="single" w:color="231F20"/>
        </w:rPr>
        <w:tab/>
      </w:r>
    </w:p>
    <w:p w14:paraId="5363A8C5" w14:textId="77777777" w:rsidR="008C1B81" w:rsidRDefault="008C1B81">
      <w:pPr>
        <w:pStyle w:val="BodyText"/>
      </w:pPr>
    </w:p>
    <w:p w14:paraId="314E6802" w14:textId="77777777" w:rsidR="008C1B81" w:rsidRDefault="00000000">
      <w:pPr>
        <w:pStyle w:val="BodyText"/>
        <w:spacing w:before="9"/>
        <w:rPr>
          <w:sz w:val="13"/>
        </w:rPr>
      </w:pPr>
      <w:r>
        <w:pict w14:anchorId="022E49A5">
          <v:line id="_x0000_s2074" style="position:absolute;z-index:-251656192;mso-wrap-distance-left:0;mso-wrap-distance-right:0;mso-position-horizontal-relative:page" from="36pt,10.15pt" to="8in,10.15pt" strokecolor="#231f20" strokeweight=".5pt">
            <w10:wrap type="topAndBottom" anchorx="page"/>
          </v:line>
        </w:pict>
      </w:r>
    </w:p>
    <w:p w14:paraId="27F8D16C" w14:textId="77777777" w:rsidR="008C1B81" w:rsidRDefault="007B373C">
      <w:pPr>
        <w:pStyle w:val="BodyText"/>
        <w:spacing w:before="24"/>
        <w:ind w:left="3559"/>
      </w:pPr>
      <w:r>
        <w:rPr>
          <w:color w:val="231F20"/>
        </w:rPr>
        <w:t>(Exact name of registrant as speciﬁed in its charter)</w:t>
      </w:r>
    </w:p>
    <w:p w14:paraId="0F86D4A9" w14:textId="77777777" w:rsidR="008C1B81" w:rsidRDefault="008C1B81">
      <w:pPr>
        <w:pStyle w:val="BodyText"/>
      </w:pPr>
    </w:p>
    <w:p w14:paraId="42990241" w14:textId="77777777" w:rsidR="008C1B81" w:rsidRDefault="00000000">
      <w:pPr>
        <w:pStyle w:val="BodyText"/>
        <w:spacing w:before="8"/>
        <w:rPr>
          <w:sz w:val="13"/>
        </w:rPr>
      </w:pPr>
      <w:r>
        <w:pict w14:anchorId="44CBEF58">
          <v:line id="_x0000_s2073" style="position:absolute;z-index:-251655168;mso-wrap-distance-left:0;mso-wrap-distance-right:0;mso-position-horizontal-relative:page" from="36pt,10.1pt" to="573.75pt,10.1pt" strokecolor="#231f20" strokeweight=".5pt">
            <w10:wrap type="topAndBottom" anchorx="page"/>
          </v:line>
        </w:pict>
      </w:r>
    </w:p>
    <w:p w14:paraId="02F84D8F" w14:textId="77777777" w:rsidR="008C1B81" w:rsidRDefault="007B373C">
      <w:pPr>
        <w:pStyle w:val="BodyText"/>
        <w:tabs>
          <w:tab w:val="left" w:pos="8125"/>
        </w:tabs>
        <w:spacing w:before="24"/>
        <w:ind w:left="220"/>
      </w:pPr>
      <w:r>
        <w:rPr>
          <w:color w:val="231F20"/>
        </w:rPr>
        <w:t>(State or other jurisdiction of incorporation</w:t>
      </w:r>
      <w:r>
        <w:rPr>
          <w:color w:val="231F20"/>
          <w:spacing w:val="-3"/>
        </w:rPr>
        <w:t xml:space="preserve"> </w:t>
      </w:r>
      <w:r>
        <w:rPr>
          <w:color w:val="231F20"/>
        </w:rPr>
        <w:t>or</w:t>
      </w:r>
      <w:r>
        <w:rPr>
          <w:color w:val="231F20"/>
          <w:spacing w:val="-1"/>
        </w:rPr>
        <w:t xml:space="preserve"> </w:t>
      </w:r>
      <w:r>
        <w:rPr>
          <w:color w:val="231F20"/>
        </w:rPr>
        <w:t>organization)</w:t>
      </w:r>
      <w:r>
        <w:rPr>
          <w:color w:val="231F20"/>
        </w:rPr>
        <w:tab/>
        <w:t>(I.R.S. Employer Identiﬁcation</w:t>
      </w:r>
      <w:r>
        <w:rPr>
          <w:color w:val="231F20"/>
          <w:spacing w:val="-2"/>
        </w:rPr>
        <w:t xml:space="preserve"> </w:t>
      </w:r>
      <w:r>
        <w:rPr>
          <w:color w:val="231F20"/>
        </w:rPr>
        <w:t>No.)</w:t>
      </w:r>
    </w:p>
    <w:p w14:paraId="0AC4278A" w14:textId="77777777" w:rsidR="008C1B81" w:rsidRDefault="008C1B81">
      <w:pPr>
        <w:pStyle w:val="BodyText"/>
      </w:pPr>
    </w:p>
    <w:p w14:paraId="222DA2A4" w14:textId="77777777" w:rsidR="008C1B81" w:rsidRDefault="00000000">
      <w:pPr>
        <w:pStyle w:val="BodyText"/>
        <w:spacing w:before="8"/>
        <w:rPr>
          <w:sz w:val="13"/>
        </w:rPr>
      </w:pPr>
      <w:r>
        <w:pict w14:anchorId="5EA9E9D9">
          <v:line id="_x0000_s2072" style="position:absolute;z-index:-251654144;mso-wrap-distance-left:0;mso-wrap-distance-right:0;mso-position-horizontal-relative:page" from="36pt,10.1pt" to="8in,10.1pt" strokecolor="#231f20" strokeweight=".5pt">
            <w10:wrap type="topAndBottom" anchorx="page"/>
          </v:line>
        </w:pict>
      </w:r>
    </w:p>
    <w:p w14:paraId="4BC53F51" w14:textId="77777777" w:rsidR="008C1B81" w:rsidRDefault="007B373C">
      <w:pPr>
        <w:pStyle w:val="BodyText"/>
        <w:tabs>
          <w:tab w:val="left" w:pos="10079"/>
        </w:tabs>
        <w:spacing w:before="24"/>
        <w:ind w:left="220"/>
      </w:pPr>
      <w:r>
        <w:rPr>
          <w:color w:val="231F20"/>
        </w:rPr>
        <w:t>(Address of principal</w:t>
      </w:r>
      <w:r>
        <w:rPr>
          <w:color w:val="231F20"/>
          <w:spacing w:val="-1"/>
        </w:rPr>
        <w:t xml:space="preserve"> </w:t>
      </w:r>
      <w:r>
        <w:rPr>
          <w:color w:val="231F20"/>
        </w:rPr>
        <w:t>executive oﬃces)</w:t>
      </w:r>
      <w:r>
        <w:rPr>
          <w:color w:val="231F20"/>
        </w:rPr>
        <w:tab/>
        <w:t>(Zip Code)</w:t>
      </w:r>
    </w:p>
    <w:p w14:paraId="691AD789" w14:textId="77777777" w:rsidR="008C1B81" w:rsidRDefault="008C1B81">
      <w:pPr>
        <w:pStyle w:val="BodyText"/>
      </w:pPr>
    </w:p>
    <w:p w14:paraId="45CB817B" w14:textId="77777777" w:rsidR="008C1B81" w:rsidRDefault="00000000">
      <w:pPr>
        <w:pStyle w:val="BodyText"/>
        <w:spacing w:before="7"/>
        <w:rPr>
          <w:sz w:val="13"/>
        </w:rPr>
      </w:pPr>
      <w:r>
        <w:pict w14:anchorId="377D035F">
          <v:line id="_x0000_s2071" style="position:absolute;z-index:-251653120;mso-wrap-distance-left:0;mso-wrap-distance-right:0;mso-position-horizontal-relative:page" from="36pt,10.05pt" to="8in,10.1pt" strokecolor="#231f20" strokeweight=".5pt">
            <w10:wrap type="topAndBottom" anchorx="page"/>
          </v:line>
        </w:pict>
      </w:r>
    </w:p>
    <w:p w14:paraId="2B3315F0" w14:textId="77777777" w:rsidR="008C1B81" w:rsidRDefault="007B373C">
      <w:pPr>
        <w:pStyle w:val="BodyText"/>
        <w:spacing w:before="24"/>
        <w:ind w:left="3502"/>
      </w:pPr>
      <w:r>
        <w:rPr>
          <w:color w:val="231F20"/>
        </w:rPr>
        <w:t>(Registrant’s telephone number, including area code)</w:t>
      </w:r>
    </w:p>
    <w:p w14:paraId="61DD7240" w14:textId="77777777" w:rsidR="008C1B81" w:rsidRDefault="008C1B81">
      <w:pPr>
        <w:pStyle w:val="BodyText"/>
      </w:pPr>
    </w:p>
    <w:p w14:paraId="0774E7D5" w14:textId="77777777" w:rsidR="008C1B81" w:rsidRDefault="00000000">
      <w:pPr>
        <w:pStyle w:val="BodyText"/>
        <w:spacing w:before="8"/>
        <w:rPr>
          <w:sz w:val="13"/>
        </w:rPr>
      </w:pPr>
      <w:r>
        <w:pict w14:anchorId="51F72FAC">
          <v:line id="_x0000_s2070" style="position:absolute;z-index:-251652096;mso-wrap-distance-left:0;mso-wrap-distance-right:0;mso-position-horizontal-relative:page" from="36pt,10.1pt" to="8in,10.1pt" strokecolor="#231f20" strokeweight=".5pt">
            <w10:wrap type="topAndBottom" anchorx="page"/>
          </v:line>
        </w:pict>
      </w:r>
    </w:p>
    <w:p w14:paraId="2AEE7D0B" w14:textId="77777777" w:rsidR="008C1B81" w:rsidRDefault="007B373C">
      <w:pPr>
        <w:pStyle w:val="BodyText"/>
        <w:spacing w:before="24" w:line="501" w:lineRule="auto"/>
        <w:ind w:left="220" w:right="1471" w:firstLine="2127"/>
      </w:pPr>
      <w:r>
        <w:rPr>
          <w:color w:val="231F20"/>
        </w:rPr>
        <w:t>(Former name, former address and former ﬁscal year, if changed since last report) Securities registered pursuant to Section 12(b) of the Act:</w:t>
      </w:r>
    </w:p>
    <w:tbl>
      <w:tblPr>
        <w:tblW w:w="0" w:type="auto"/>
        <w:tblInd w:w="3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14"/>
        <w:gridCol w:w="2766"/>
        <w:gridCol w:w="4827"/>
      </w:tblGrid>
      <w:tr w:rsidR="008C1B81" w14:paraId="3AF9B7C0" w14:textId="77777777" w:rsidTr="00102351">
        <w:trPr>
          <w:trHeight w:val="521"/>
        </w:trPr>
        <w:tc>
          <w:tcPr>
            <w:tcW w:w="3014" w:type="dxa"/>
          </w:tcPr>
          <w:p w14:paraId="1A3FDE59" w14:textId="77777777" w:rsidR="008C1B81" w:rsidRDefault="007B373C">
            <w:pPr>
              <w:pStyle w:val="TableParagraph"/>
              <w:spacing w:line="209" w:lineRule="exact"/>
              <w:ind w:left="636"/>
              <w:rPr>
                <w:sz w:val="20"/>
              </w:rPr>
            </w:pPr>
            <w:r>
              <w:rPr>
                <w:color w:val="231F20"/>
                <w:sz w:val="20"/>
              </w:rPr>
              <w:t>Title of each class</w:t>
            </w:r>
          </w:p>
        </w:tc>
        <w:tc>
          <w:tcPr>
            <w:tcW w:w="2766" w:type="dxa"/>
          </w:tcPr>
          <w:p w14:paraId="1F41BD86" w14:textId="77777777" w:rsidR="008C1B81" w:rsidRDefault="007B373C">
            <w:pPr>
              <w:pStyle w:val="TableParagraph"/>
              <w:spacing w:line="209" w:lineRule="exact"/>
              <w:ind w:left="466"/>
              <w:rPr>
                <w:sz w:val="20"/>
              </w:rPr>
            </w:pPr>
            <w:r>
              <w:rPr>
                <w:color w:val="231F20"/>
                <w:sz w:val="20"/>
              </w:rPr>
              <w:t>Trading</w:t>
            </w:r>
          </w:p>
          <w:p w14:paraId="38107235" w14:textId="77777777" w:rsidR="008C1B81" w:rsidRDefault="007B373C">
            <w:pPr>
              <w:pStyle w:val="TableParagraph"/>
              <w:spacing w:before="10"/>
              <w:ind w:left="395"/>
              <w:rPr>
                <w:sz w:val="20"/>
              </w:rPr>
            </w:pPr>
            <w:r>
              <w:rPr>
                <w:color w:val="231F20"/>
                <w:sz w:val="20"/>
              </w:rPr>
              <w:t>Symbol(s)</w:t>
            </w:r>
          </w:p>
        </w:tc>
        <w:tc>
          <w:tcPr>
            <w:tcW w:w="4827" w:type="dxa"/>
          </w:tcPr>
          <w:p w14:paraId="69FA1B64" w14:textId="77777777" w:rsidR="008C1B81" w:rsidRDefault="007B373C">
            <w:pPr>
              <w:pStyle w:val="TableParagraph"/>
              <w:spacing w:line="209" w:lineRule="exact"/>
              <w:ind w:left="1042"/>
              <w:rPr>
                <w:sz w:val="20"/>
              </w:rPr>
            </w:pPr>
            <w:r>
              <w:rPr>
                <w:color w:val="231F20"/>
                <w:sz w:val="20"/>
              </w:rPr>
              <w:t>Name of each exchange on which registered</w:t>
            </w:r>
          </w:p>
        </w:tc>
      </w:tr>
      <w:tr w:rsidR="008C1B81" w14:paraId="66491750" w14:textId="77777777" w:rsidTr="00102351">
        <w:trPr>
          <w:trHeight w:val="521"/>
        </w:trPr>
        <w:tc>
          <w:tcPr>
            <w:tcW w:w="3014" w:type="dxa"/>
          </w:tcPr>
          <w:p w14:paraId="190B1439" w14:textId="77777777" w:rsidR="008C1B81" w:rsidRDefault="008C1B81">
            <w:pPr>
              <w:pStyle w:val="TableParagraph"/>
              <w:rPr>
                <w:sz w:val="18"/>
              </w:rPr>
            </w:pPr>
          </w:p>
        </w:tc>
        <w:tc>
          <w:tcPr>
            <w:tcW w:w="2766" w:type="dxa"/>
          </w:tcPr>
          <w:p w14:paraId="59138F85" w14:textId="77777777" w:rsidR="008C1B81" w:rsidRDefault="008C1B81">
            <w:pPr>
              <w:pStyle w:val="TableParagraph"/>
              <w:rPr>
                <w:sz w:val="18"/>
              </w:rPr>
            </w:pPr>
          </w:p>
        </w:tc>
        <w:tc>
          <w:tcPr>
            <w:tcW w:w="4827" w:type="dxa"/>
          </w:tcPr>
          <w:p w14:paraId="5E75BFB9" w14:textId="77777777" w:rsidR="008C1B81" w:rsidRDefault="008C1B81">
            <w:pPr>
              <w:pStyle w:val="TableParagraph"/>
              <w:rPr>
                <w:sz w:val="18"/>
              </w:rPr>
            </w:pPr>
          </w:p>
        </w:tc>
      </w:tr>
    </w:tbl>
    <w:p w14:paraId="1D10429D" w14:textId="77777777" w:rsidR="008C1B81" w:rsidRDefault="008C1B81">
      <w:pPr>
        <w:pStyle w:val="BodyText"/>
        <w:spacing w:before="2"/>
        <w:rPr>
          <w:sz w:val="29"/>
        </w:rPr>
      </w:pPr>
    </w:p>
    <w:p w14:paraId="13D83FC1" w14:textId="491E10AC" w:rsidR="008C1B81" w:rsidRDefault="00000000">
      <w:pPr>
        <w:pStyle w:val="BodyText"/>
        <w:tabs>
          <w:tab w:val="left" w:pos="9232"/>
        </w:tabs>
        <w:spacing w:line="249" w:lineRule="auto"/>
        <w:ind w:left="220" w:right="215" w:firstLine="360"/>
        <w:jc w:val="both"/>
      </w:pPr>
      <w:r>
        <w:pict w14:anchorId="12ECC35C">
          <v:rect id="_x0000_s2069" style="position:absolute;left:0;text-align:left;margin-left:475.75pt;margin-top:24.6pt;width:8.5pt;height:8.5pt;z-index:-251665408;mso-position-horizontal-relative:page" filled="f" strokecolor="#231f20" strokeweight=".5pt">
            <w10:wrap anchorx="page"/>
          </v:rect>
        </w:pict>
      </w:r>
      <w:r>
        <w:pict w14:anchorId="200F6D27">
          <v:rect id="_x0000_s2068" style="position:absolute;left:0;text-align:left;margin-left:506.45pt;margin-top:24.6pt;width:8.5pt;height:8.5pt;z-index:-251664384;mso-position-horizontal-relative:page" filled="f" strokecolor="#231f20" strokeweight=".5pt">
            <w10:wrap anchorx="page"/>
          </v:rect>
        </w:pict>
      </w:r>
      <w:r w:rsidR="007B373C">
        <w:rPr>
          <w:color w:val="231F20"/>
        </w:rPr>
        <w:t>Indicate by check mark whether the registrant (1) has ﬁled all reports required to be ﬁled by Section 13 or 15(d) of the Securities Exchange Act of 1934 during the preceding 12 months (or for such shorter period that the registrant was required to ﬁle such</w:t>
      </w:r>
      <w:r w:rsidR="007B373C">
        <w:rPr>
          <w:color w:val="231F20"/>
          <w:spacing w:val="-31"/>
        </w:rPr>
        <w:t xml:space="preserve"> </w:t>
      </w:r>
      <w:r w:rsidR="007B373C">
        <w:rPr>
          <w:color w:val="231F20"/>
        </w:rPr>
        <w:t>reports), and (2) has been subject to such ﬁling requirements for the past</w:t>
      </w:r>
      <w:r w:rsidR="007B373C">
        <w:rPr>
          <w:color w:val="231F20"/>
          <w:spacing w:val="-10"/>
        </w:rPr>
        <w:t xml:space="preserve"> </w:t>
      </w:r>
      <w:r w:rsidR="007B373C">
        <w:rPr>
          <w:color w:val="231F20"/>
        </w:rPr>
        <w:t>90 days.</w:t>
      </w:r>
      <w:r w:rsidR="007B373C">
        <w:rPr>
          <w:color w:val="231F20"/>
        </w:rPr>
        <w:tab/>
      </w:r>
      <w:r w:rsidR="007B373C">
        <w:rPr>
          <w:color w:val="231F20"/>
          <w:spacing w:val="-7"/>
        </w:rPr>
        <w:t>Yes</w:t>
      </w:r>
      <w:r w:rsidR="007B373C">
        <w:rPr>
          <w:color w:val="231F20"/>
          <w:spacing w:val="20"/>
        </w:rPr>
        <w:t xml:space="preserve"> </w:t>
      </w:r>
      <w:r w:rsidR="00102351">
        <w:rPr>
          <w:color w:val="231F20"/>
          <w:spacing w:val="20"/>
        </w:rPr>
        <w:t xml:space="preserve">    </w:t>
      </w:r>
      <w:r w:rsidR="007B373C">
        <w:rPr>
          <w:color w:val="231F20"/>
        </w:rPr>
        <w:t>No</w:t>
      </w:r>
    </w:p>
    <w:p w14:paraId="6A1283DC" w14:textId="77777777" w:rsidR="008C1B81" w:rsidRDefault="008C1B81">
      <w:pPr>
        <w:pStyle w:val="BodyText"/>
        <w:spacing w:before="1"/>
        <w:rPr>
          <w:sz w:val="21"/>
        </w:rPr>
      </w:pPr>
    </w:p>
    <w:p w14:paraId="63598A54" w14:textId="77777777" w:rsidR="008C1B81" w:rsidRDefault="007B373C">
      <w:pPr>
        <w:pStyle w:val="BodyText"/>
        <w:spacing w:line="249" w:lineRule="auto"/>
        <w:ind w:left="219" w:right="106"/>
      </w:pPr>
      <w:r>
        <w:rPr>
          <w:color w:val="231F20"/>
        </w:rPr>
        <w:t>Indicate by check mark whether the registrant has submitted electronically every Interactive Data File required to be submitted pursuant to Rule 405 of Regulation S-T (§232.405 of this chapter) during the preceding 12 months (or for such shorter period that the</w:t>
      </w:r>
    </w:p>
    <w:p w14:paraId="7D1C9892" w14:textId="77777777" w:rsidR="008C1B81" w:rsidRDefault="00000000">
      <w:pPr>
        <w:pStyle w:val="BodyText"/>
        <w:tabs>
          <w:tab w:val="left" w:pos="9279"/>
          <w:tab w:val="left" w:pos="9900"/>
        </w:tabs>
        <w:spacing w:before="50"/>
        <w:ind w:left="220"/>
      </w:pPr>
      <w:r>
        <w:pict w14:anchorId="0ADB24A6">
          <v:rect id="_x0000_s2067" style="position:absolute;left:0;text-align:left;margin-left:477.25pt;margin-top:3.1pt;width:8.5pt;height:8.5pt;z-index:-251663360;mso-position-horizontal-relative:page" filled="f" strokecolor="#231f20" strokeweight=".5pt">
            <w10:wrap anchorx="page"/>
          </v:rect>
        </w:pict>
      </w:r>
      <w:r>
        <w:pict w14:anchorId="14199F9E">
          <v:rect id="_x0000_s2066" style="position:absolute;left:0;text-align:left;margin-left:508.8pt;margin-top:3.1pt;width:8.5pt;height:8.5pt;z-index:-251662336;mso-position-horizontal-relative:page" filled="f" strokecolor="#231f20" strokeweight=".5pt">
            <w10:wrap anchorx="page"/>
          </v:rect>
        </w:pict>
      </w:r>
      <w:r w:rsidR="007B373C">
        <w:rPr>
          <w:color w:val="231F20"/>
        </w:rPr>
        <w:t>registrant was required to submit</w:t>
      </w:r>
      <w:r w:rsidR="007B373C">
        <w:rPr>
          <w:color w:val="231F20"/>
          <w:spacing w:val="-9"/>
        </w:rPr>
        <w:t xml:space="preserve"> </w:t>
      </w:r>
      <w:r w:rsidR="007B373C">
        <w:rPr>
          <w:color w:val="231F20"/>
        </w:rPr>
        <w:t>such</w:t>
      </w:r>
      <w:r w:rsidR="007B373C">
        <w:rPr>
          <w:color w:val="231F20"/>
          <w:spacing w:val="-2"/>
        </w:rPr>
        <w:t xml:space="preserve"> </w:t>
      </w:r>
      <w:r w:rsidR="007B373C">
        <w:rPr>
          <w:color w:val="231F20"/>
        </w:rPr>
        <w:t>ﬁles).</w:t>
      </w:r>
      <w:r w:rsidR="007B373C">
        <w:rPr>
          <w:color w:val="231F20"/>
        </w:rPr>
        <w:tab/>
      </w:r>
      <w:r w:rsidR="007B373C">
        <w:rPr>
          <w:color w:val="231F20"/>
          <w:spacing w:val="-7"/>
        </w:rPr>
        <w:t>Yes</w:t>
      </w:r>
      <w:r w:rsidR="007B373C">
        <w:rPr>
          <w:color w:val="231F20"/>
          <w:spacing w:val="-7"/>
        </w:rPr>
        <w:tab/>
      </w:r>
      <w:r w:rsidR="007B373C">
        <w:rPr>
          <w:color w:val="231F20"/>
        </w:rPr>
        <w:t>No</w:t>
      </w:r>
    </w:p>
    <w:p w14:paraId="4D1613FF" w14:textId="77777777" w:rsidR="008C1B81" w:rsidRDefault="008C1B81">
      <w:pPr>
        <w:pStyle w:val="BodyText"/>
        <w:spacing w:before="11"/>
        <w:rPr>
          <w:sz w:val="24"/>
        </w:rPr>
      </w:pPr>
    </w:p>
    <w:p w14:paraId="6309FA52" w14:textId="77777777" w:rsidR="008C1B81" w:rsidRDefault="008C1B81">
      <w:pPr>
        <w:rPr>
          <w:sz w:val="24"/>
        </w:rPr>
        <w:sectPr w:rsidR="008C1B81">
          <w:type w:val="continuous"/>
          <w:pgSz w:w="12240" w:h="15840"/>
          <w:pgMar w:top="1440" w:right="600" w:bottom="820" w:left="500" w:header="720" w:footer="628" w:gutter="0"/>
          <w:pgNumType w:start="4"/>
          <w:cols w:space="720"/>
        </w:sectPr>
      </w:pPr>
    </w:p>
    <w:p w14:paraId="10D51015" w14:textId="77777777" w:rsidR="008C1B81" w:rsidRDefault="007B373C">
      <w:pPr>
        <w:pStyle w:val="BodyText"/>
        <w:spacing w:before="187"/>
        <w:ind w:left="119"/>
        <w:rPr>
          <w:rFonts w:ascii="Calibri"/>
        </w:rPr>
      </w:pPr>
      <w:r>
        <w:rPr>
          <w:rFonts w:ascii="Calibri"/>
          <w:color w:val="231F20"/>
        </w:rPr>
        <w:t>SEC 1296 (05-19)</w:t>
      </w:r>
    </w:p>
    <w:p w14:paraId="58D6A582" w14:textId="77777777" w:rsidR="008C1B81" w:rsidRDefault="007B373C">
      <w:pPr>
        <w:spacing w:before="92" w:line="249" w:lineRule="auto"/>
        <w:ind w:left="119" w:right="5"/>
        <w:rPr>
          <w:b/>
          <w:sz w:val="20"/>
        </w:rPr>
      </w:pPr>
      <w:r>
        <w:br w:type="column"/>
      </w:r>
      <w:r>
        <w:rPr>
          <w:b/>
          <w:color w:val="231F20"/>
          <w:sz w:val="20"/>
        </w:rPr>
        <w:t>Potential persons who are to respond to the collection of information contained in this form are not required to respond unless the form displays a currently valid OMB control number.</w:t>
      </w:r>
    </w:p>
    <w:p w14:paraId="3D9848B0" w14:textId="77777777" w:rsidR="008C1B81" w:rsidRDefault="008C1B81">
      <w:pPr>
        <w:spacing w:line="249" w:lineRule="auto"/>
        <w:rPr>
          <w:sz w:val="20"/>
        </w:rPr>
        <w:sectPr w:rsidR="008C1B81">
          <w:type w:val="continuous"/>
          <w:pgSz w:w="12240" w:h="15840"/>
          <w:pgMar w:top="1440" w:right="600" w:bottom="820" w:left="500" w:header="720" w:footer="720" w:gutter="0"/>
          <w:cols w:num="2" w:space="720" w:equalWidth="0">
            <w:col w:w="1596" w:space="46"/>
            <w:col w:w="9498"/>
          </w:cols>
        </w:sectPr>
      </w:pPr>
    </w:p>
    <w:p w14:paraId="16296753" w14:textId="77777777" w:rsidR="008C1B81" w:rsidRDefault="008C1B81">
      <w:pPr>
        <w:pStyle w:val="BodyText"/>
        <w:rPr>
          <w:b/>
          <w:sz w:val="25"/>
        </w:rPr>
      </w:pPr>
    </w:p>
    <w:p w14:paraId="4D6D9765" w14:textId="77777777" w:rsidR="008C1B81" w:rsidRDefault="007B373C">
      <w:pPr>
        <w:pStyle w:val="BodyText"/>
        <w:spacing w:before="92" w:line="249" w:lineRule="auto"/>
        <w:ind w:left="220" w:firstLine="359"/>
      </w:pPr>
      <w:r>
        <w:rPr>
          <w:color w:val="231F20"/>
        </w:rPr>
        <w:t>Indicate by check mark whether the registrant is a large accelerated ﬁler, an accelerated ﬁler, a non-accelerated ﬁler, a smaller reporting company, or an emerging growth company. See the deﬁnitions of “large accelerated ﬁler,” “accelerated ﬁler,” “smaller reporting company,” and "emerging growth company" in Rule 12b-2 of the Exchange Act.</w:t>
      </w:r>
    </w:p>
    <w:p w14:paraId="0055D909" w14:textId="77777777" w:rsidR="008C1B81" w:rsidRDefault="00000000">
      <w:pPr>
        <w:pStyle w:val="BodyText"/>
        <w:tabs>
          <w:tab w:val="left" w:pos="8158"/>
        </w:tabs>
        <w:spacing w:before="103"/>
        <w:ind w:left="1240"/>
      </w:pPr>
      <w:r>
        <w:pict w14:anchorId="360D236D">
          <v:rect id="_x0000_s2065" style="position:absolute;left:0;text-align:left;margin-left:178.95pt;margin-top:7.5pt;width:6.25pt;height:6.75pt;z-index:-251661312;mso-position-horizontal-relative:page" filled="f" strokecolor="#231f20" strokeweight=".5pt">
            <w10:wrap anchorx="page"/>
          </v:rect>
        </w:pict>
      </w:r>
      <w:r>
        <w:pict w14:anchorId="3114DAD3">
          <v:rect id="_x0000_s2064" style="position:absolute;left:0;text-align:left;margin-left:502.05pt;margin-top:7.5pt;width:6.25pt;height:6.75pt;z-index:251645952;mso-position-horizontal-relative:page" filled="f" strokecolor="#231f20" strokeweight=".5pt">
            <w10:wrap anchorx="page"/>
          </v:rect>
        </w:pict>
      </w:r>
      <w:r w:rsidR="007B373C">
        <w:rPr>
          <w:color w:val="231F20"/>
        </w:rPr>
        <w:t>Large</w:t>
      </w:r>
      <w:r w:rsidR="007B373C">
        <w:rPr>
          <w:color w:val="231F20"/>
          <w:spacing w:val="-2"/>
        </w:rPr>
        <w:t xml:space="preserve"> </w:t>
      </w:r>
      <w:r w:rsidR="007B373C">
        <w:rPr>
          <w:color w:val="231F20"/>
        </w:rPr>
        <w:t>accelerated</w:t>
      </w:r>
      <w:r w:rsidR="007B373C">
        <w:rPr>
          <w:color w:val="231F20"/>
          <w:spacing w:val="-1"/>
        </w:rPr>
        <w:t xml:space="preserve"> </w:t>
      </w:r>
      <w:r w:rsidR="007B373C">
        <w:rPr>
          <w:color w:val="231F20"/>
        </w:rPr>
        <w:t>ﬁler</w:t>
      </w:r>
      <w:r w:rsidR="007B373C">
        <w:rPr>
          <w:color w:val="231F20"/>
        </w:rPr>
        <w:tab/>
        <w:t>Accelerated</w:t>
      </w:r>
      <w:r w:rsidR="007B373C">
        <w:rPr>
          <w:color w:val="231F20"/>
          <w:spacing w:val="-1"/>
        </w:rPr>
        <w:t xml:space="preserve"> </w:t>
      </w:r>
      <w:r w:rsidR="007B373C">
        <w:rPr>
          <w:color w:val="231F20"/>
        </w:rPr>
        <w:t>ﬁler</w:t>
      </w:r>
    </w:p>
    <w:p w14:paraId="7873CB7D" w14:textId="77777777" w:rsidR="008C1B81" w:rsidRDefault="00000000">
      <w:pPr>
        <w:pStyle w:val="BodyText"/>
        <w:tabs>
          <w:tab w:val="left" w:pos="8149"/>
        </w:tabs>
        <w:spacing w:before="110"/>
        <w:ind w:left="1190"/>
      </w:pPr>
      <w:r>
        <w:pict w14:anchorId="081B9C69">
          <v:rect id="_x0000_s2063" style="position:absolute;left:0;text-align:left;margin-left:176.35pt;margin-top:7.85pt;width:6.25pt;height:6.75pt;z-index:-251660288;mso-position-horizontal-relative:page" filled="f" strokecolor="#231f20" strokeweight=".5pt">
            <w10:wrap anchorx="page"/>
          </v:rect>
        </w:pict>
      </w:r>
      <w:r>
        <w:pict w14:anchorId="264C0DC3">
          <v:rect id="_x0000_s2062" style="position:absolute;left:0;text-align:left;margin-left:547.15pt;margin-top:7.85pt;width:6.25pt;height:6.75pt;z-index:251646976;mso-position-horizontal-relative:page" filled="f" strokecolor="#231f20" strokeweight=".5pt">
            <w10:wrap anchorx="page"/>
          </v:rect>
        </w:pict>
      </w:r>
      <w:r w:rsidR="007B373C">
        <w:rPr>
          <w:color w:val="231F20"/>
        </w:rPr>
        <w:t>Non-accelerated</w:t>
      </w:r>
      <w:r w:rsidR="007B373C">
        <w:rPr>
          <w:color w:val="231F20"/>
          <w:spacing w:val="-5"/>
        </w:rPr>
        <w:t xml:space="preserve"> </w:t>
      </w:r>
      <w:r w:rsidR="007B373C">
        <w:rPr>
          <w:color w:val="231F20"/>
        </w:rPr>
        <w:t>ﬁler</w:t>
      </w:r>
      <w:r w:rsidR="007B373C">
        <w:rPr>
          <w:color w:val="231F20"/>
        </w:rPr>
        <w:tab/>
        <w:t>Smaller reporting</w:t>
      </w:r>
      <w:r w:rsidR="007B373C">
        <w:rPr>
          <w:color w:val="231F20"/>
          <w:spacing w:val="-2"/>
        </w:rPr>
        <w:t xml:space="preserve"> </w:t>
      </w:r>
      <w:r w:rsidR="007B373C">
        <w:rPr>
          <w:color w:val="231F20"/>
        </w:rPr>
        <w:t>company</w:t>
      </w:r>
    </w:p>
    <w:p w14:paraId="0D527479" w14:textId="77777777" w:rsidR="008C1B81" w:rsidRDefault="00000000">
      <w:pPr>
        <w:pStyle w:val="BodyText"/>
        <w:spacing w:before="10"/>
        <w:ind w:left="8190"/>
      </w:pPr>
      <w:r>
        <w:pict w14:anchorId="4EB8AC5C">
          <v:rect id="_x0000_s2061" style="position:absolute;left:0;text-align:left;margin-left:547.25pt;margin-top:3.15pt;width:6.25pt;height:6.75pt;z-index:251650048;mso-position-horizontal-relative:page" filled="f" strokecolor="#231f20" strokeweight=".5pt">
            <w10:wrap anchorx="page"/>
          </v:rect>
        </w:pict>
      </w:r>
      <w:r w:rsidR="007B373C">
        <w:rPr>
          <w:color w:val="231F20"/>
        </w:rPr>
        <w:t>Emerging growth company</w:t>
      </w:r>
    </w:p>
    <w:p w14:paraId="2F4B03C6" w14:textId="77777777" w:rsidR="008C1B81" w:rsidRDefault="008C1B81">
      <w:pPr>
        <w:pStyle w:val="BodyText"/>
        <w:spacing w:before="2"/>
        <w:rPr>
          <w:sz w:val="25"/>
        </w:rPr>
      </w:pPr>
    </w:p>
    <w:p w14:paraId="6BDC9726" w14:textId="77777777" w:rsidR="008C1B81" w:rsidRDefault="00000000">
      <w:pPr>
        <w:pStyle w:val="BodyText"/>
        <w:spacing w:line="249" w:lineRule="auto"/>
        <w:ind w:left="220" w:firstLine="1"/>
      </w:pPr>
      <w:r>
        <w:pict w14:anchorId="1DB919F2">
          <v:rect id="_x0000_s2060" style="position:absolute;left:0;text-align:left;margin-left:535.75pt;margin-top:13.9pt;width:8.5pt;height:8.5pt;z-index:-251657216;mso-position-horizontal-relative:page" filled="f" strokecolor="#231f20" strokeweight=".5pt">
            <w10:wrap anchorx="page"/>
          </v:rect>
        </w:pict>
      </w:r>
      <w:r w:rsidR="007B373C">
        <w:rPr>
          <w:color w:val="231F20"/>
        </w:rPr>
        <w:t>If an emerging growth company, indicate by check mark if the registrant has elected not to use the extended transition period for complying with any new or revised ﬁnancial accounting standards provided pursuant to Section 13(a) of the Exchange Act.</w:t>
      </w:r>
    </w:p>
    <w:p w14:paraId="089F6CF1" w14:textId="77777777" w:rsidR="008C1B81" w:rsidRDefault="008C1B81">
      <w:pPr>
        <w:pStyle w:val="BodyText"/>
        <w:spacing w:before="5"/>
        <w:rPr>
          <w:sz w:val="13"/>
        </w:rPr>
      </w:pPr>
    </w:p>
    <w:p w14:paraId="67230ED3" w14:textId="77777777" w:rsidR="008C1B81" w:rsidRDefault="007B373C">
      <w:pPr>
        <w:pStyle w:val="BodyText"/>
        <w:spacing w:before="91"/>
        <w:ind w:left="221"/>
      </w:pPr>
      <w:r>
        <w:rPr>
          <w:color w:val="231F20"/>
        </w:rPr>
        <w:t>Indicate by check mark whether the registrant is a shell company (as deﬁned in Rule 12b-2 of the Exchange Act).</w:t>
      </w:r>
    </w:p>
    <w:p w14:paraId="46FC941C" w14:textId="77777777" w:rsidR="008C1B81" w:rsidRDefault="00000000">
      <w:pPr>
        <w:pStyle w:val="BodyText"/>
        <w:tabs>
          <w:tab w:val="left" w:pos="620"/>
        </w:tabs>
        <w:spacing w:before="59"/>
        <w:ind w:right="420"/>
        <w:jc w:val="right"/>
      </w:pPr>
      <w:r>
        <w:pict w14:anchorId="61250831">
          <v:rect id="_x0000_s2059" style="position:absolute;left:0;text-align:left;margin-left:506.75pt;margin-top:3.55pt;width:8.5pt;height:8.5pt;z-index:251648000;mso-position-horizontal-relative:page" filled="f" strokecolor="#231f20" strokeweight=".5pt">
            <w10:wrap anchorx="page"/>
          </v:rect>
        </w:pict>
      </w:r>
      <w:r>
        <w:pict w14:anchorId="64B8313E">
          <v:rect id="_x0000_s2058" style="position:absolute;left:0;text-align:left;margin-left:537.45pt;margin-top:3.55pt;width:8.5pt;height:8.5pt;z-index:-251659264;mso-position-horizontal-relative:page" filled="f" strokecolor="#231f20" strokeweight=".5pt">
            <w10:wrap anchorx="page"/>
          </v:rect>
        </w:pict>
      </w:r>
      <w:r w:rsidR="007B373C">
        <w:rPr>
          <w:color w:val="231F20"/>
          <w:spacing w:val="-7"/>
        </w:rPr>
        <w:t>Yes</w:t>
      </w:r>
      <w:r w:rsidR="007B373C">
        <w:rPr>
          <w:color w:val="231F20"/>
          <w:spacing w:val="-7"/>
        </w:rPr>
        <w:tab/>
      </w:r>
      <w:r w:rsidR="007B373C">
        <w:rPr>
          <w:color w:val="231F20"/>
          <w:spacing w:val="-1"/>
        </w:rPr>
        <w:t>No</w:t>
      </w:r>
    </w:p>
    <w:p w14:paraId="62CADFBE" w14:textId="77777777" w:rsidR="008C1B81" w:rsidRDefault="008C1B81">
      <w:pPr>
        <w:pStyle w:val="BodyText"/>
        <w:spacing w:before="9"/>
        <w:rPr>
          <w:sz w:val="13"/>
        </w:rPr>
      </w:pPr>
    </w:p>
    <w:p w14:paraId="1BF6799B" w14:textId="77777777" w:rsidR="008C1B81" w:rsidRDefault="007B373C">
      <w:pPr>
        <w:pStyle w:val="BodyText"/>
        <w:spacing w:before="92" w:line="249" w:lineRule="auto"/>
        <w:ind w:left="3089" w:right="2718" w:hanging="421"/>
      </w:pPr>
      <w:r>
        <w:rPr>
          <w:color w:val="231F20"/>
        </w:rPr>
        <w:t>APPLICABLE ONLY TO ISSUERS INVOLVED IN BANKRUPTCY PROCEEDINGS DURING THE PRECEDING FIVE YEARS:</w:t>
      </w:r>
    </w:p>
    <w:p w14:paraId="59A3F344" w14:textId="77777777" w:rsidR="008C1B81" w:rsidRDefault="008C1B81">
      <w:pPr>
        <w:pStyle w:val="BodyText"/>
        <w:rPr>
          <w:sz w:val="21"/>
        </w:rPr>
      </w:pPr>
    </w:p>
    <w:p w14:paraId="01B86E3E" w14:textId="77777777" w:rsidR="008C1B81" w:rsidRDefault="007B373C">
      <w:pPr>
        <w:pStyle w:val="BodyText"/>
        <w:spacing w:line="249" w:lineRule="auto"/>
        <w:ind w:left="219" w:right="609"/>
      </w:pPr>
      <w:r>
        <w:rPr>
          <w:color w:val="231F20"/>
        </w:rPr>
        <w:t>Indicate by check mark whether the registrant has ﬁled all documents and reports required to be ﬁled by Sections 12, 13 or 15(d) of the Securities Exchange Act of 1934 subsequent to the distribution of securities under a plan conﬁrmed by a court.</w:t>
      </w:r>
    </w:p>
    <w:p w14:paraId="1B6A01A4" w14:textId="77777777" w:rsidR="008C1B81" w:rsidRDefault="00000000">
      <w:pPr>
        <w:pStyle w:val="BodyText"/>
        <w:tabs>
          <w:tab w:val="left" w:pos="620"/>
        </w:tabs>
        <w:spacing w:before="2"/>
        <w:ind w:right="268"/>
        <w:jc w:val="right"/>
      </w:pPr>
      <w:r>
        <w:pict w14:anchorId="0945F184">
          <v:rect id="_x0000_s2057" style="position:absolute;left:0;text-align:left;margin-left:514.35pt;margin-top:.7pt;width:8.5pt;height:8.5pt;z-index:251649024;mso-position-horizontal-relative:page" filled="f" strokecolor="#231f20" strokeweight=".5pt">
            <w10:wrap anchorx="page"/>
          </v:rect>
        </w:pict>
      </w:r>
      <w:r>
        <w:pict w14:anchorId="5B4F0E32">
          <v:rect id="_x0000_s2056" style="position:absolute;left:0;text-align:left;margin-left:545.05pt;margin-top:.7pt;width:8.5pt;height:8.5pt;z-index:-251658240;mso-position-horizontal-relative:page" filled="f" strokecolor="#231f20" strokeweight=".5pt">
            <w10:wrap anchorx="page"/>
          </v:rect>
        </w:pict>
      </w:r>
      <w:r w:rsidR="007B373C">
        <w:rPr>
          <w:color w:val="231F20"/>
          <w:spacing w:val="-7"/>
        </w:rPr>
        <w:t>Yes</w:t>
      </w:r>
      <w:r w:rsidR="007B373C">
        <w:rPr>
          <w:color w:val="231F20"/>
          <w:spacing w:val="-7"/>
        </w:rPr>
        <w:tab/>
      </w:r>
      <w:r w:rsidR="007B373C">
        <w:rPr>
          <w:color w:val="231F20"/>
          <w:spacing w:val="-1"/>
        </w:rPr>
        <w:t>No</w:t>
      </w:r>
    </w:p>
    <w:p w14:paraId="4CCD9E23" w14:textId="77777777" w:rsidR="008C1B81" w:rsidRDefault="008C1B81">
      <w:pPr>
        <w:pStyle w:val="BodyText"/>
        <w:spacing w:before="5"/>
        <w:rPr>
          <w:sz w:val="23"/>
        </w:rPr>
      </w:pPr>
    </w:p>
    <w:p w14:paraId="07387FFB" w14:textId="77777777" w:rsidR="008C1B81" w:rsidRDefault="007B373C">
      <w:pPr>
        <w:pStyle w:val="BodyText"/>
        <w:ind w:left="3460" w:right="3361"/>
        <w:jc w:val="center"/>
      </w:pPr>
      <w:r>
        <w:rPr>
          <w:color w:val="231F20"/>
        </w:rPr>
        <w:t>APPLICABLE ONLY TO CORPORATE ISSUERS:</w:t>
      </w:r>
    </w:p>
    <w:p w14:paraId="1D927CCE" w14:textId="77777777" w:rsidR="008C1B81" w:rsidRDefault="008C1B81">
      <w:pPr>
        <w:pStyle w:val="BodyText"/>
        <w:spacing w:before="9"/>
        <w:rPr>
          <w:sz w:val="21"/>
        </w:rPr>
      </w:pPr>
    </w:p>
    <w:p w14:paraId="17CA9C4B" w14:textId="77777777" w:rsidR="008C1B81" w:rsidRDefault="007B373C">
      <w:pPr>
        <w:pStyle w:val="BodyText"/>
        <w:ind w:left="219"/>
      </w:pPr>
      <w:r>
        <w:rPr>
          <w:color w:val="231F20"/>
        </w:rPr>
        <w:t>Indicate the number of shares outstanding of each of the issuer’s classes of common stock, as of the latest practicable date.</w:t>
      </w:r>
    </w:p>
    <w:p w14:paraId="52DA983A" w14:textId="77777777" w:rsidR="008C1B81" w:rsidRDefault="008C1B81">
      <w:pPr>
        <w:pStyle w:val="BodyText"/>
        <w:spacing w:before="8"/>
        <w:rPr>
          <w:sz w:val="21"/>
        </w:rPr>
      </w:pPr>
    </w:p>
    <w:p w14:paraId="270EBEA4" w14:textId="77777777" w:rsidR="007B373C" w:rsidRDefault="007B373C" w:rsidP="007B373C">
      <w:pPr>
        <w:pStyle w:val="NormalWeb"/>
        <w:spacing w:before="120" w:beforeAutospacing="0" w:after="120" w:afterAutospacing="0"/>
        <w:jc w:val="center"/>
        <w:rPr>
          <w:b/>
          <w:bCs/>
          <w:sz w:val="18"/>
          <w:szCs w:val="18"/>
        </w:rPr>
      </w:pPr>
      <w:r>
        <w:rPr>
          <w:b/>
          <w:bCs/>
          <w:sz w:val="18"/>
          <w:szCs w:val="18"/>
        </w:rPr>
        <w:t>PART I — FINANCIAL INFORMATION</w:t>
      </w:r>
    </w:p>
    <w:tbl>
      <w:tblPr>
        <w:tblW w:w="5000" w:type="pct"/>
        <w:tblCellSpacing w:w="0" w:type="dxa"/>
        <w:tblCellMar>
          <w:left w:w="0" w:type="dxa"/>
          <w:right w:w="0" w:type="dxa"/>
        </w:tblCellMar>
        <w:tblLook w:val="04A0" w:firstRow="1" w:lastRow="0" w:firstColumn="1" w:lastColumn="0" w:noHBand="0" w:noVBand="1"/>
      </w:tblPr>
      <w:tblGrid>
        <w:gridCol w:w="1114"/>
        <w:gridCol w:w="9023"/>
        <w:gridCol w:w="1003"/>
      </w:tblGrid>
      <w:tr w:rsidR="007B373C" w14:paraId="239D39E4" w14:textId="77777777" w:rsidTr="00102351">
        <w:trPr>
          <w:tblCellSpacing w:w="0" w:type="dxa"/>
        </w:trPr>
        <w:tc>
          <w:tcPr>
            <w:tcW w:w="500" w:type="pct"/>
            <w:shd w:val="clear" w:color="auto" w:fill="auto"/>
            <w:vAlign w:val="center"/>
            <w:hideMark/>
          </w:tcPr>
          <w:p w14:paraId="7BB45DAF" w14:textId="77777777" w:rsidR="007B373C" w:rsidRDefault="007B373C" w:rsidP="00102351">
            <w:pPr>
              <w:rPr>
                <w:sz w:val="20"/>
                <w:szCs w:val="20"/>
              </w:rPr>
            </w:pPr>
            <w:r>
              <w:rPr>
                <w:sz w:val="20"/>
                <w:szCs w:val="20"/>
              </w:rPr>
              <w:t>Item 1.</w:t>
            </w:r>
          </w:p>
        </w:tc>
        <w:tc>
          <w:tcPr>
            <w:tcW w:w="4050" w:type="pct"/>
            <w:shd w:val="clear" w:color="auto" w:fill="auto"/>
            <w:vAlign w:val="center"/>
            <w:hideMark/>
          </w:tcPr>
          <w:p w14:paraId="517B070C" w14:textId="77777777" w:rsidR="007B373C" w:rsidRDefault="007B373C" w:rsidP="00102351">
            <w:pPr>
              <w:rPr>
                <w:sz w:val="20"/>
                <w:szCs w:val="20"/>
              </w:rPr>
            </w:pPr>
            <w:r>
              <w:rPr>
                <w:sz w:val="20"/>
                <w:szCs w:val="20"/>
              </w:rPr>
              <w:t>Financial Statements</w:t>
            </w:r>
          </w:p>
        </w:tc>
        <w:tc>
          <w:tcPr>
            <w:tcW w:w="450" w:type="pct"/>
            <w:shd w:val="clear" w:color="auto" w:fill="auto"/>
            <w:vAlign w:val="center"/>
            <w:hideMark/>
          </w:tcPr>
          <w:p w14:paraId="77CA3697" w14:textId="77777777" w:rsidR="007B373C" w:rsidRDefault="007B373C" w:rsidP="00102351">
            <w:pPr>
              <w:rPr>
                <w:sz w:val="20"/>
                <w:szCs w:val="20"/>
              </w:rPr>
            </w:pPr>
            <w:r>
              <w:rPr>
                <w:sz w:val="20"/>
                <w:szCs w:val="20"/>
              </w:rPr>
              <w:t> </w:t>
            </w:r>
          </w:p>
        </w:tc>
      </w:tr>
      <w:tr w:rsidR="007B373C" w14:paraId="06B266E5" w14:textId="77777777" w:rsidTr="00102351">
        <w:trPr>
          <w:tblCellSpacing w:w="0" w:type="dxa"/>
        </w:trPr>
        <w:tc>
          <w:tcPr>
            <w:tcW w:w="500" w:type="pct"/>
            <w:shd w:val="clear" w:color="auto" w:fill="auto"/>
            <w:vAlign w:val="center"/>
            <w:hideMark/>
          </w:tcPr>
          <w:p w14:paraId="61C29D31" w14:textId="77777777" w:rsidR="007B373C" w:rsidRDefault="007B373C" w:rsidP="00102351">
            <w:pPr>
              <w:rPr>
                <w:sz w:val="20"/>
                <w:szCs w:val="20"/>
              </w:rPr>
            </w:pPr>
            <w:r>
              <w:rPr>
                <w:sz w:val="20"/>
                <w:szCs w:val="20"/>
              </w:rPr>
              <w:t>Item 2.</w:t>
            </w:r>
          </w:p>
        </w:tc>
        <w:tc>
          <w:tcPr>
            <w:tcW w:w="4050" w:type="pct"/>
            <w:shd w:val="clear" w:color="auto" w:fill="auto"/>
            <w:vAlign w:val="center"/>
            <w:hideMark/>
          </w:tcPr>
          <w:p w14:paraId="021557F1" w14:textId="77777777" w:rsidR="007B373C" w:rsidRDefault="007B373C" w:rsidP="00102351">
            <w:pPr>
              <w:rPr>
                <w:sz w:val="20"/>
                <w:szCs w:val="20"/>
              </w:rPr>
            </w:pPr>
            <w:r>
              <w:rPr>
                <w:sz w:val="20"/>
                <w:szCs w:val="20"/>
              </w:rPr>
              <w:t>Management’s Discussion and Analysis of Financial Condition and Results of Operations</w:t>
            </w:r>
          </w:p>
        </w:tc>
        <w:tc>
          <w:tcPr>
            <w:tcW w:w="450" w:type="pct"/>
            <w:shd w:val="clear" w:color="auto" w:fill="auto"/>
            <w:vAlign w:val="center"/>
            <w:hideMark/>
          </w:tcPr>
          <w:p w14:paraId="07DB64B0" w14:textId="77777777" w:rsidR="007B373C" w:rsidRDefault="007B373C" w:rsidP="00102351">
            <w:pPr>
              <w:rPr>
                <w:sz w:val="20"/>
                <w:szCs w:val="20"/>
              </w:rPr>
            </w:pPr>
            <w:r>
              <w:rPr>
                <w:sz w:val="20"/>
                <w:szCs w:val="20"/>
              </w:rPr>
              <w:t> </w:t>
            </w:r>
          </w:p>
        </w:tc>
      </w:tr>
      <w:tr w:rsidR="007B373C" w14:paraId="678B22E0" w14:textId="77777777" w:rsidTr="00102351">
        <w:trPr>
          <w:tblCellSpacing w:w="0" w:type="dxa"/>
        </w:trPr>
        <w:tc>
          <w:tcPr>
            <w:tcW w:w="500" w:type="pct"/>
            <w:shd w:val="clear" w:color="auto" w:fill="auto"/>
            <w:vAlign w:val="center"/>
            <w:hideMark/>
          </w:tcPr>
          <w:p w14:paraId="05221715" w14:textId="77777777" w:rsidR="007B373C" w:rsidRDefault="007B373C" w:rsidP="00102351">
            <w:pPr>
              <w:rPr>
                <w:sz w:val="20"/>
                <w:szCs w:val="20"/>
              </w:rPr>
            </w:pPr>
            <w:r>
              <w:rPr>
                <w:sz w:val="20"/>
                <w:szCs w:val="20"/>
              </w:rPr>
              <w:t>Item 3.</w:t>
            </w:r>
          </w:p>
        </w:tc>
        <w:tc>
          <w:tcPr>
            <w:tcW w:w="4050" w:type="pct"/>
            <w:shd w:val="clear" w:color="auto" w:fill="auto"/>
            <w:vAlign w:val="center"/>
            <w:hideMark/>
          </w:tcPr>
          <w:p w14:paraId="07DC382F" w14:textId="77777777" w:rsidR="007B373C" w:rsidRDefault="007B373C" w:rsidP="00102351">
            <w:pPr>
              <w:rPr>
                <w:sz w:val="20"/>
                <w:szCs w:val="20"/>
              </w:rPr>
            </w:pPr>
            <w:r>
              <w:rPr>
                <w:sz w:val="20"/>
                <w:szCs w:val="20"/>
              </w:rPr>
              <w:t>Quantitative and Qualitative Disclosures About Market Risk</w:t>
            </w:r>
          </w:p>
        </w:tc>
        <w:tc>
          <w:tcPr>
            <w:tcW w:w="450" w:type="pct"/>
            <w:shd w:val="clear" w:color="auto" w:fill="auto"/>
            <w:vAlign w:val="center"/>
            <w:hideMark/>
          </w:tcPr>
          <w:p w14:paraId="26640E73" w14:textId="77777777" w:rsidR="007B373C" w:rsidRDefault="007B373C" w:rsidP="00102351">
            <w:pPr>
              <w:rPr>
                <w:sz w:val="20"/>
                <w:szCs w:val="20"/>
              </w:rPr>
            </w:pPr>
            <w:r>
              <w:rPr>
                <w:sz w:val="20"/>
                <w:szCs w:val="20"/>
              </w:rPr>
              <w:t> </w:t>
            </w:r>
          </w:p>
        </w:tc>
      </w:tr>
      <w:tr w:rsidR="007B373C" w14:paraId="25A2E94F" w14:textId="77777777" w:rsidTr="00102351">
        <w:trPr>
          <w:tblCellSpacing w:w="0" w:type="dxa"/>
        </w:trPr>
        <w:tc>
          <w:tcPr>
            <w:tcW w:w="500" w:type="pct"/>
            <w:shd w:val="clear" w:color="auto" w:fill="auto"/>
            <w:vAlign w:val="center"/>
            <w:hideMark/>
          </w:tcPr>
          <w:p w14:paraId="5FC5E129" w14:textId="77777777" w:rsidR="007B373C" w:rsidRDefault="007B373C" w:rsidP="00102351">
            <w:pPr>
              <w:rPr>
                <w:sz w:val="20"/>
                <w:szCs w:val="20"/>
              </w:rPr>
            </w:pPr>
            <w:r>
              <w:rPr>
                <w:sz w:val="20"/>
                <w:szCs w:val="20"/>
              </w:rPr>
              <w:t>Item 4.</w:t>
            </w:r>
          </w:p>
        </w:tc>
        <w:tc>
          <w:tcPr>
            <w:tcW w:w="4050" w:type="pct"/>
            <w:shd w:val="clear" w:color="auto" w:fill="auto"/>
            <w:vAlign w:val="center"/>
            <w:hideMark/>
          </w:tcPr>
          <w:p w14:paraId="455BD06A" w14:textId="77777777" w:rsidR="007B373C" w:rsidRDefault="007B373C" w:rsidP="00102351">
            <w:pPr>
              <w:rPr>
                <w:sz w:val="20"/>
                <w:szCs w:val="20"/>
              </w:rPr>
            </w:pPr>
            <w:r>
              <w:rPr>
                <w:sz w:val="20"/>
                <w:szCs w:val="20"/>
              </w:rPr>
              <w:t>Controls and Procedures</w:t>
            </w:r>
          </w:p>
        </w:tc>
        <w:tc>
          <w:tcPr>
            <w:tcW w:w="450" w:type="pct"/>
            <w:shd w:val="clear" w:color="auto" w:fill="auto"/>
            <w:vAlign w:val="center"/>
            <w:hideMark/>
          </w:tcPr>
          <w:p w14:paraId="6E574946" w14:textId="77777777" w:rsidR="007B373C" w:rsidRDefault="007B373C" w:rsidP="00102351">
            <w:pPr>
              <w:rPr>
                <w:sz w:val="20"/>
                <w:szCs w:val="20"/>
              </w:rPr>
            </w:pPr>
            <w:r>
              <w:rPr>
                <w:sz w:val="20"/>
                <w:szCs w:val="20"/>
              </w:rPr>
              <w:t> </w:t>
            </w:r>
          </w:p>
        </w:tc>
      </w:tr>
      <w:tr w:rsidR="007B373C" w14:paraId="08A89871" w14:textId="77777777" w:rsidTr="00102351">
        <w:trPr>
          <w:tblCellSpacing w:w="0" w:type="dxa"/>
        </w:trPr>
        <w:tc>
          <w:tcPr>
            <w:tcW w:w="500" w:type="pct"/>
            <w:shd w:val="clear" w:color="auto" w:fill="auto"/>
            <w:vAlign w:val="center"/>
            <w:hideMark/>
          </w:tcPr>
          <w:p w14:paraId="75DD3E4F" w14:textId="77777777" w:rsidR="007B373C" w:rsidRDefault="007B373C" w:rsidP="00102351">
            <w:pPr>
              <w:rPr>
                <w:sz w:val="20"/>
                <w:szCs w:val="20"/>
              </w:rPr>
            </w:pPr>
            <w:r>
              <w:rPr>
                <w:sz w:val="20"/>
                <w:szCs w:val="20"/>
              </w:rPr>
              <w:t>Item 4T.</w:t>
            </w:r>
          </w:p>
        </w:tc>
        <w:tc>
          <w:tcPr>
            <w:tcW w:w="4050" w:type="pct"/>
            <w:shd w:val="clear" w:color="auto" w:fill="auto"/>
            <w:vAlign w:val="center"/>
            <w:hideMark/>
          </w:tcPr>
          <w:p w14:paraId="43AC48E5" w14:textId="77777777" w:rsidR="007B373C" w:rsidRDefault="007B373C" w:rsidP="00102351">
            <w:pPr>
              <w:rPr>
                <w:sz w:val="20"/>
                <w:szCs w:val="20"/>
              </w:rPr>
            </w:pPr>
            <w:r>
              <w:rPr>
                <w:sz w:val="20"/>
                <w:szCs w:val="20"/>
              </w:rPr>
              <w:t>Controls and Procedures</w:t>
            </w:r>
          </w:p>
        </w:tc>
        <w:tc>
          <w:tcPr>
            <w:tcW w:w="450" w:type="pct"/>
            <w:shd w:val="clear" w:color="auto" w:fill="auto"/>
            <w:vAlign w:val="center"/>
            <w:hideMark/>
          </w:tcPr>
          <w:p w14:paraId="43755E1F" w14:textId="77777777" w:rsidR="007B373C" w:rsidRDefault="007B373C" w:rsidP="00102351">
            <w:pPr>
              <w:rPr>
                <w:sz w:val="20"/>
                <w:szCs w:val="20"/>
              </w:rPr>
            </w:pPr>
            <w:r>
              <w:rPr>
                <w:sz w:val="20"/>
                <w:szCs w:val="20"/>
              </w:rPr>
              <w:t> </w:t>
            </w:r>
          </w:p>
        </w:tc>
      </w:tr>
    </w:tbl>
    <w:p w14:paraId="46ECDDF9" w14:textId="77777777" w:rsidR="007B373C" w:rsidRDefault="007B373C" w:rsidP="007B373C">
      <w:pPr>
        <w:pStyle w:val="NormalWeb"/>
        <w:spacing w:before="120" w:beforeAutospacing="0" w:after="120" w:afterAutospacing="0"/>
        <w:jc w:val="center"/>
        <w:rPr>
          <w:b/>
          <w:bCs/>
          <w:sz w:val="18"/>
          <w:szCs w:val="18"/>
        </w:rPr>
      </w:pPr>
      <w:r>
        <w:rPr>
          <w:b/>
          <w:bCs/>
          <w:sz w:val="18"/>
          <w:szCs w:val="18"/>
        </w:rPr>
        <w:t>PART II — OTHER INFORMATION</w:t>
      </w:r>
    </w:p>
    <w:tbl>
      <w:tblPr>
        <w:tblW w:w="5000" w:type="pct"/>
        <w:tblCellSpacing w:w="0" w:type="dxa"/>
        <w:tblCellMar>
          <w:left w:w="0" w:type="dxa"/>
          <w:right w:w="0" w:type="dxa"/>
        </w:tblCellMar>
        <w:tblLook w:val="04A0" w:firstRow="1" w:lastRow="0" w:firstColumn="1" w:lastColumn="0" w:noHBand="0" w:noVBand="1"/>
      </w:tblPr>
      <w:tblGrid>
        <w:gridCol w:w="1114"/>
        <w:gridCol w:w="9023"/>
        <w:gridCol w:w="1003"/>
      </w:tblGrid>
      <w:tr w:rsidR="007B373C" w14:paraId="40E5BAE3" w14:textId="77777777" w:rsidTr="00102351">
        <w:trPr>
          <w:tblCellSpacing w:w="0" w:type="dxa"/>
        </w:trPr>
        <w:tc>
          <w:tcPr>
            <w:tcW w:w="500" w:type="pct"/>
            <w:shd w:val="clear" w:color="auto" w:fill="auto"/>
            <w:vAlign w:val="center"/>
            <w:hideMark/>
          </w:tcPr>
          <w:p w14:paraId="080C78C5" w14:textId="77777777" w:rsidR="007B373C" w:rsidRDefault="007B373C" w:rsidP="00102351">
            <w:pPr>
              <w:rPr>
                <w:sz w:val="20"/>
                <w:szCs w:val="20"/>
              </w:rPr>
            </w:pPr>
            <w:r>
              <w:rPr>
                <w:sz w:val="20"/>
                <w:szCs w:val="20"/>
              </w:rPr>
              <w:t>Item 1.</w:t>
            </w:r>
          </w:p>
        </w:tc>
        <w:tc>
          <w:tcPr>
            <w:tcW w:w="4050" w:type="pct"/>
            <w:shd w:val="clear" w:color="auto" w:fill="auto"/>
            <w:vAlign w:val="center"/>
            <w:hideMark/>
          </w:tcPr>
          <w:p w14:paraId="6181D2D7" w14:textId="77777777" w:rsidR="007B373C" w:rsidRDefault="007B373C" w:rsidP="00102351">
            <w:pPr>
              <w:rPr>
                <w:sz w:val="20"/>
                <w:szCs w:val="20"/>
              </w:rPr>
            </w:pPr>
            <w:r>
              <w:rPr>
                <w:sz w:val="20"/>
                <w:szCs w:val="20"/>
              </w:rPr>
              <w:t>Legal Proceedings</w:t>
            </w:r>
          </w:p>
        </w:tc>
        <w:tc>
          <w:tcPr>
            <w:tcW w:w="450" w:type="pct"/>
            <w:shd w:val="clear" w:color="auto" w:fill="auto"/>
            <w:vAlign w:val="center"/>
            <w:hideMark/>
          </w:tcPr>
          <w:p w14:paraId="4C826190" w14:textId="77777777" w:rsidR="007B373C" w:rsidRDefault="007B373C" w:rsidP="00102351">
            <w:pPr>
              <w:rPr>
                <w:sz w:val="20"/>
                <w:szCs w:val="20"/>
              </w:rPr>
            </w:pPr>
            <w:r>
              <w:rPr>
                <w:sz w:val="20"/>
                <w:szCs w:val="20"/>
              </w:rPr>
              <w:t> </w:t>
            </w:r>
          </w:p>
        </w:tc>
      </w:tr>
      <w:tr w:rsidR="007B373C" w14:paraId="14026608" w14:textId="77777777" w:rsidTr="00102351">
        <w:trPr>
          <w:tblCellSpacing w:w="0" w:type="dxa"/>
        </w:trPr>
        <w:tc>
          <w:tcPr>
            <w:tcW w:w="500" w:type="pct"/>
            <w:shd w:val="clear" w:color="auto" w:fill="auto"/>
            <w:vAlign w:val="center"/>
            <w:hideMark/>
          </w:tcPr>
          <w:p w14:paraId="483F6DAE" w14:textId="77777777" w:rsidR="007B373C" w:rsidRDefault="007B373C" w:rsidP="00102351">
            <w:pPr>
              <w:rPr>
                <w:sz w:val="20"/>
                <w:szCs w:val="20"/>
              </w:rPr>
            </w:pPr>
            <w:r>
              <w:rPr>
                <w:sz w:val="20"/>
                <w:szCs w:val="20"/>
              </w:rPr>
              <w:t>Item 1A.</w:t>
            </w:r>
          </w:p>
        </w:tc>
        <w:tc>
          <w:tcPr>
            <w:tcW w:w="4050" w:type="pct"/>
            <w:shd w:val="clear" w:color="auto" w:fill="auto"/>
            <w:vAlign w:val="center"/>
            <w:hideMark/>
          </w:tcPr>
          <w:p w14:paraId="445F9689" w14:textId="77777777" w:rsidR="007B373C" w:rsidRDefault="007B373C" w:rsidP="00102351">
            <w:pPr>
              <w:rPr>
                <w:sz w:val="20"/>
                <w:szCs w:val="20"/>
              </w:rPr>
            </w:pPr>
            <w:r>
              <w:rPr>
                <w:sz w:val="20"/>
                <w:szCs w:val="20"/>
              </w:rPr>
              <w:t>Risk Factors</w:t>
            </w:r>
          </w:p>
        </w:tc>
        <w:tc>
          <w:tcPr>
            <w:tcW w:w="450" w:type="pct"/>
            <w:shd w:val="clear" w:color="auto" w:fill="auto"/>
            <w:vAlign w:val="center"/>
            <w:hideMark/>
          </w:tcPr>
          <w:p w14:paraId="221ED5F2" w14:textId="77777777" w:rsidR="007B373C" w:rsidRDefault="007B373C" w:rsidP="00102351">
            <w:pPr>
              <w:rPr>
                <w:sz w:val="20"/>
                <w:szCs w:val="20"/>
              </w:rPr>
            </w:pPr>
            <w:r>
              <w:rPr>
                <w:sz w:val="20"/>
                <w:szCs w:val="20"/>
              </w:rPr>
              <w:t> </w:t>
            </w:r>
          </w:p>
        </w:tc>
      </w:tr>
      <w:tr w:rsidR="007B373C" w14:paraId="3CA7D17F" w14:textId="77777777" w:rsidTr="00102351">
        <w:trPr>
          <w:tblCellSpacing w:w="0" w:type="dxa"/>
        </w:trPr>
        <w:tc>
          <w:tcPr>
            <w:tcW w:w="500" w:type="pct"/>
            <w:shd w:val="clear" w:color="auto" w:fill="auto"/>
            <w:vAlign w:val="center"/>
            <w:hideMark/>
          </w:tcPr>
          <w:p w14:paraId="3B10EE77" w14:textId="77777777" w:rsidR="007B373C" w:rsidRDefault="007B373C" w:rsidP="00102351">
            <w:pPr>
              <w:rPr>
                <w:sz w:val="20"/>
                <w:szCs w:val="20"/>
              </w:rPr>
            </w:pPr>
            <w:r>
              <w:rPr>
                <w:sz w:val="20"/>
                <w:szCs w:val="20"/>
              </w:rPr>
              <w:t>Item 2.</w:t>
            </w:r>
          </w:p>
        </w:tc>
        <w:tc>
          <w:tcPr>
            <w:tcW w:w="4050" w:type="pct"/>
            <w:shd w:val="clear" w:color="auto" w:fill="auto"/>
            <w:vAlign w:val="center"/>
            <w:hideMark/>
          </w:tcPr>
          <w:p w14:paraId="13990F7E" w14:textId="77777777" w:rsidR="007B373C" w:rsidRDefault="007B373C" w:rsidP="00102351">
            <w:pPr>
              <w:rPr>
                <w:sz w:val="20"/>
                <w:szCs w:val="20"/>
              </w:rPr>
            </w:pPr>
            <w:r>
              <w:rPr>
                <w:sz w:val="20"/>
                <w:szCs w:val="20"/>
              </w:rPr>
              <w:t>Unregistered Sales of Equity Securities and Use of Proceeds</w:t>
            </w:r>
          </w:p>
        </w:tc>
        <w:tc>
          <w:tcPr>
            <w:tcW w:w="450" w:type="pct"/>
            <w:shd w:val="clear" w:color="auto" w:fill="auto"/>
            <w:vAlign w:val="center"/>
            <w:hideMark/>
          </w:tcPr>
          <w:p w14:paraId="71F41A74" w14:textId="77777777" w:rsidR="007B373C" w:rsidRDefault="007B373C" w:rsidP="00102351">
            <w:pPr>
              <w:rPr>
                <w:sz w:val="20"/>
                <w:szCs w:val="20"/>
              </w:rPr>
            </w:pPr>
            <w:r>
              <w:rPr>
                <w:sz w:val="20"/>
                <w:szCs w:val="20"/>
              </w:rPr>
              <w:t> </w:t>
            </w:r>
          </w:p>
        </w:tc>
      </w:tr>
      <w:tr w:rsidR="007B373C" w14:paraId="2A346AB9" w14:textId="77777777" w:rsidTr="00102351">
        <w:trPr>
          <w:tblCellSpacing w:w="0" w:type="dxa"/>
        </w:trPr>
        <w:tc>
          <w:tcPr>
            <w:tcW w:w="500" w:type="pct"/>
            <w:shd w:val="clear" w:color="auto" w:fill="auto"/>
            <w:vAlign w:val="center"/>
            <w:hideMark/>
          </w:tcPr>
          <w:p w14:paraId="0D1CCAA2" w14:textId="77777777" w:rsidR="007B373C" w:rsidRDefault="007B373C" w:rsidP="00102351">
            <w:pPr>
              <w:rPr>
                <w:sz w:val="20"/>
                <w:szCs w:val="20"/>
              </w:rPr>
            </w:pPr>
            <w:r>
              <w:rPr>
                <w:sz w:val="20"/>
                <w:szCs w:val="20"/>
              </w:rPr>
              <w:t>Item 3.</w:t>
            </w:r>
          </w:p>
        </w:tc>
        <w:tc>
          <w:tcPr>
            <w:tcW w:w="4050" w:type="pct"/>
            <w:shd w:val="clear" w:color="auto" w:fill="auto"/>
            <w:vAlign w:val="center"/>
            <w:hideMark/>
          </w:tcPr>
          <w:p w14:paraId="249665FF" w14:textId="77777777" w:rsidR="007B373C" w:rsidRDefault="007B373C" w:rsidP="00102351">
            <w:pPr>
              <w:rPr>
                <w:sz w:val="20"/>
                <w:szCs w:val="20"/>
              </w:rPr>
            </w:pPr>
            <w:r>
              <w:rPr>
                <w:sz w:val="20"/>
                <w:szCs w:val="20"/>
              </w:rPr>
              <w:t>Defaults Upon Senior Securities</w:t>
            </w:r>
          </w:p>
        </w:tc>
        <w:tc>
          <w:tcPr>
            <w:tcW w:w="450" w:type="pct"/>
            <w:shd w:val="clear" w:color="auto" w:fill="auto"/>
            <w:vAlign w:val="center"/>
            <w:hideMark/>
          </w:tcPr>
          <w:p w14:paraId="38D3A381" w14:textId="77777777" w:rsidR="007B373C" w:rsidRDefault="007B373C" w:rsidP="00102351">
            <w:pPr>
              <w:rPr>
                <w:sz w:val="20"/>
                <w:szCs w:val="20"/>
              </w:rPr>
            </w:pPr>
            <w:r>
              <w:rPr>
                <w:sz w:val="20"/>
                <w:szCs w:val="20"/>
              </w:rPr>
              <w:t> </w:t>
            </w:r>
          </w:p>
        </w:tc>
      </w:tr>
      <w:tr w:rsidR="007B373C" w14:paraId="569F205F" w14:textId="77777777" w:rsidTr="00102351">
        <w:trPr>
          <w:tblCellSpacing w:w="0" w:type="dxa"/>
        </w:trPr>
        <w:tc>
          <w:tcPr>
            <w:tcW w:w="500" w:type="pct"/>
            <w:shd w:val="clear" w:color="auto" w:fill="auto"/>
            <w:vAlign w:val="center"/>
            <w:hideMark/>
          </w:tcPr>
          <w:p w14:paraId="37EF1366" w14:textId="77777777" w:rsidR="007B373C" w:rsidRDefault="007B373C" w:rsidP="00102351">
            <w:pPr>
              <w:rPr>
                <w:sz w:val="20"/>
                <w:szCs w:val="20"/>
              </w:rPr>
            </w:pPr>
            <w:r>
              <w:rPr>
                <w:sz w:val="20"/>
                <w:szCs w:val="20"/>
              </w:rPr>
              <w:t>Item 4.</w:t>
            </w:r>
          </w:p>
        </w:tc>
        <w:tc>
          <w:tcPr>
            <w:tcW w:w="4050" w:type="pct"/>
            <w:shd w:val="clear" w:color="auto" w:fill="auto"/>
            <w:vAlign w:val="center"/>
            <w:hideMark/>
          </w:tcPr>
          <w:p w14:paraId="69C801E0" w14:textId="77777777" w:rsidR="007B373C" w:rsidRDefault="007B373C" w:rsidP="00102351">
            <w:pPr>
              <w:rPr>
                <w:sz w:val="20"/>
                <w:szCs w:val="20"/>
              </w:rPr>
            </w:pPr>
            <w:r>
              <w:rPr>
                <w:sz w:val="20"/>
                <w:szCs w:val="20"/>
              </w:rPr>
              <w:t>Mine Safety Disclosures</w:t>
            </w:r>
          </w:p>
        </w:tc>
        <w:tc>
          <w:tcPr>
            <w:tcW w:w="450" w:type="pct"/>
            <w:shd w:val="clear" w:color="auto" w:fill="auto"/>
            <w:vAlign w:val="center"/>
            <w:hideMark/>
          </w:tcPr>
          <w:p w14:paraId="38FCD5B4" w14:textId="77777777" w:rsidR="007B373C" w:rsidRDefault="007B373C" w:rsidP="00102351">
            <w:pPr>
              <w:rPr>
                <w:sz w:val="20"/>
                <w:szCs w:val="20"/>
              </w:rPr>
            </w:pPr>
            <w:r>
              <w:rPr>
                <w:sz w:val="20"/>
                <w:szCs w:val="20"/>
              </w:rPr>
              <w:t> </w:t>
            </w:r>
          </w:p>
        </w:tc>
      </w:tr>
      <w:tr w:rsidR="007B373C" w14:paraId="36B2BF15" w14:textId="77777777" w:rsidTr="00102351">
        <w:trPr>
          <w:tblCellSpacing w:w="0" w:type="dxa"/>
        </w:trPr>
        <w:tc>
          <w:tcPr>
            <w:tcW w:w="500" w:type="pct"/>
            <w:shd w:val="clear" w:color="auto" w:fill="auto"/>
            <w:vAlign w:val="center"/>
            <w:hideMark/>
          </w:tcPr>
          <w:p w14:paraId="31A9CF61" w14:textId="77777777" w:rsidR="007B373C" w:rsidRDefault="007B373C" w:rsidP="00102351">
            <w:pPr>
              <w:rPr>
                <w:sz w:val="20"/>
                <w:szCs w:val="20"/>
              </w:rPr>
            </w:pPr>
            <w:r>
              <w:rPr>
                <w:sz w:val="20"/>
                <w:szCs w:val="20"/>
              </w:rPr>
              <w:t>Item 5.</w:t>
            </w:r>
          </w:p>
        </w:tc>
        <w:tc>
          <w:tcPr>
            <w:tcW w:w="4050" w:type="pct"/>
            <w:shd w:val="clear" w:color="auto" w:fill="auto"/>
            <w:vAlign w:val="center"/>
            <w:hideMark/>
          </w:tcPr>
          <w:p w14:paraId="5A85812C" w14:textId="77777777" w:rsidR="007B373C" w:rsidRDefault="007B373C" w:rsidP="00102351">
            <w:pPr>
              <w:rPr>
                <w:sz w:val="20"/>
                <w:szCs w:val="20"/>
              </w:rPr>
            </w:pPr>
            <w:r>
              <w:rPr>
                <w:sz w:val="20"/>
                <w:szCs w:val="20"/>
              </w:rPr>
              <w:t>Other Information</w:t>
            </w:r>
          </w:p>
        </w:tc>
        <w:tc>
          <w:tcPr>
            <w:tcW w:w="450" w:type="pct"/>
            <w:shd w:val="clear" w:color="auto" w:fill="auto"/>
            <w:vAlign w:val="center"/>
            <w:hideMark/>
          </w:tcPr>
          <w:p w14:paraId="4EB95305" w14:textId="77777777" w:rsidR="007B373C" w:rsidRDefault="007B373C" w:rsidP="00102351">
            <w:pPr>
              <w:rPr>
                <w:sz w:val="20"/>
                <w:szCs w:val="20"/>
              </w:rPr>
            </w:pPr>
            <w:r>
              <w:rPr>
                <w:sz w:val="20"/>
                <w:szCs w:val="20"/>
              </w:rPr>
              <w:t> </w:t>
            </w:r>
          </w:p>
        </w:tc>
      </w:tr>
      <w:tr w:rsidR="007B373C" w14:paraId="51959C1B" w14:textId="77777777" w:rsidTr="00102351">
        <w:trPr>
          <w:tblCellSpacing w:w="0" w:type="dxa"/>
        </w:trPr>
        <w:tc>
          <w:tcPr>
            <w:tcW w:w="500" w:type="pct"/>
            <w:shd w:val="clear" w:color="auto" w:fill="auto"/>
            <w:vAlign w:val="center"/>
            <w:hideMark/>
          </w:tcPr>
          <w:p w14:paraId="0259616C" w14:textId="77777777" w:rsidR="007B373C" w:rsidRDefault="007B373C" w:rsidP="00102351">
            <w:pPr>
              <w:rPr>
                <w:sz w:val="20"/>
                <w:szCs w:val="20"/>
              </w:rPr>
            </w:pPr>
            <w:r>
              <w:rPr>
                <w:sz w:val="20"/>
                <w:szCs w:val="20"/>
              </w:rPr>
              <w:t>Item 6.</w:t>
            </w:r>
          </w:p>
        </w:tc>
        <w:tc>
          <w:tcPr>
            <w:tcW w:w="4050" w:type="pct"/>
            <w:shd w:val="clear" w:color="auto" w:fill="auto"/>
            <w:vAlign w:val="center"/>
            <w:hideMark/>
          </w:tcPr>
          <w:p w14:paraId="39FB2914" w14:textId="77777777" w:rsidR="007B373C" w:rsidRDefault="007B373C" w:rsidP="00102351">
            <w:pPr>
              <w:rPr>
                <w:sz w:val="20"/>
                <w:szCs w:val="20"/>
              </w:rPr>
            </w:pPr>
            <w:r>
              <w:rPr>
                <w:sz w:val="20"/>
                <w:szCs w:val="20"/>
              </w:rPr>
              <w:t>Exhibits</w:t>
            </w:r>
          </w:p>
        </w:tc>
        <w:tc>
          <w:tcPr>
            <w:tcW w:w="450" w:type="pct"/>
            <w:shd w:val="clear" w:color="auto" w:fill="auto"/>
            <w:vAlign w:val="center"/>
            <w:hideMark/>
          </w:tcPr>
          <w:p w14:paraId="7363AA9F" w14:textId="77777777" w:rsidR="007B373C" w:rsidRDefault="007B373C" w:rsidP="00102351">
            <w:pPr>
              <w:rPr>
                <w:sz w:val="20"/>
                <w:szCs w:val="20"/>
              </w:rPr>
            </w:pPr>
            <w:r>
              <w:rPr>
                <w:sz w:val="20"/>
                <w:szCs w:val="20"/>
              </w:rPr>
              <w:t> </w:t>
            </w:r>
          </w:p>
        </w:tc>
      </w:tr>
    </w:tbl>
    <w:p w14:paraId="7392ABDF" w14:textId="77777777" w:rsidR="007B373C" w:rsidRDefault="007B373C" w:rsidP="007B373C">
      <w:pPr>
        <w:pStyle w:val="NormalWeb"/>
        <w:spacing w:before="120" w:beforeAutospacing="0" w:after="120" w:afterAutospacing="0"/>
        <w:ind w:firstLine="360"/>
        <w:rPr>
          <w:sz w:val="18"/>
          <w:szCs w:val="18"/>
        </w:rPr>
      </w:pPr>
      <w:r>
        <w:rPr>
          <w:sz w:val="18"/>
          <w:szCs w:val="18"/>
        </w:rPr>
        <w:t> </w:t>
      </w:r>
    </w:p>
    <w:p w14:paraId="5CD871B6" w14:textId="77777777" w:rsidR="007B373C" w:rsidRDefault="007B373C" w:rsidP="007B373C">
      <w:pPr>
        <w:pStyle w:val="NormalWeb"/>
        <w:spacing w:before="120" w:beforeAutospacing="0" w:after="120" w:afterAutospacing="0"/>
        <w:jc w:val="center"/>
        <w:rPr>
          <w:b/>
          <w:bCs/>
          <w:sz w:val="18"/>
          <w:szCs w:val="18"/>
        </w:rPr>
      </w:pPr>
      <w:r>
        <w:rPr>
          <w:b/>
          <w:bCs/>
          <w:sz w:val="18"/>
          <w:szCs w:val="18"/>
        </w:rPr>
        <w:t>SIGNATURES</w:t>
      </w:r>
    </w:p>
    <w:p w14:paraId="768F3BF0" w14:textId="77777777" w:rsidR="007B373C" w:rsidRDefault="007B373C" w:rsidP="007B373C">
      <w:pPr>
        <w:pStyle w:val="NormalWeb"/>
        <w:spacing w:before="120" w:beforeAutospacing="0" w:after="120" w:afterAutospacing="0"/>
        <w:jc w:val="both"/>
        <w:rPr>
          <w:sz w:val="18"/>
          <w:szCs w:val="18"/>
        </w:rPr>
      </w:pPr>
      <w:r>
        <w:rPr>
          <w:sz w:val="18"/>
          <w:szCs w:val="18"/>
        </w:rPr>
        <w:t>Pursuant to the requirements of the Securities Exchange Act of 1934, the registrant has duly caused this report to be signed on its behalf by the undersigned, thereunto duly authorized.</w:t>
      </w:r>
    </w:p>
    <w:tbl>
      <w:tblPr>
        <w:tblW w:w="5000" w:type="pct"/>
        <w:tblCellSpacing w:w="0" w:type="dxa"/>
        <w:tblCellMar>
          <w:left w:w="0" w:type="dxa"/>
          <w:right w:w="0" w:type="dxa"/>
        </w:tblCellMar>
        <w:tblLook w:val="04A0" w:firstRow="1" w:lastRow="0" w:firstColumn="1" w:lastColumn="0" w:noHBand="0" w:noVBand="1"/>
      </w:tblPr>
      <w:tblGrid>
        <w:gridCol w:w="5904"/>
        <w:gridCol w:w="5236"/>
      </w:tblGrid>
      <w:tr w:rsidR="007B373C" w14:paraId="1FABECC2" w14:textId="77777777" w:rsidTr="00203BE5">
        <w:trPr>
          <w:tblCellSpacing w:w="0" w:type="dxa"/>
        </w:trPr>
        <w:tc>
          <w:tcPr>
            <w:tcW w:w="2650" w:type="pct"/>
            <w:hideMark/>
          </w:tcPr>
          <w:p w14:paraId="6FFB6ACF" w14:textId="77777777" w:rsidR="007B373C" w:rsidRDefault="007B373C" w:rsidP="00203BE5">
            <w:r>
              <w:t> </w:t>
            </w:r>
          </w:p>
        </w:tc>
        <w:tc>
          <w:tcPr>
            <w:tcW w:w="2350" w:type="pct"/>
            <w:hideMark/>
          </w:tcPr>
          <w:p w14:paraId="1B3D7486" w14:textId="77777777" w:rsidR="007B373C" w:rsidRDefault="007B373C" w:rsidP="00203BE5">
            <w:pPr>
              <w:rPr>
                <w:sz w:val="18"/>
                <w:szCs w:val="18"/>
              </w:rPr>
            </w:pPr>
            <w:r>
              <w:rPr>
                <w:b/>
                <w:bCs/>
                <w:sz w:val="18"/>
                <w:szCs w:val="18"/>
              </w:rPr>
              <w:t>[--Insert Company Name--]</w:t>
            </w:r>
          </w:p>
        </w:tc>
      </w:tr>
      <w:tr w:rsidR="007B373C" w14:paraId="64629A00" w14:textId="77777777" w:rsidTr="00203BE5">
        <w:trPr>
          <w:tblCellSpacing w:w="0" w:type="dxa"/>
        </w:trPr>
        <w:tc>
          <w:tcPr>
            <w:tcW w:w="0" w:type="auto"/>
            <w:hideMark/>
          </w:tcPr>
          <w:p w14:paraId="21A68B2C" w14:textId="77777777" w:rsidR="007B373C" w:rsidRDefault="007B373C" w:rsidP="00203BE5">
            <w:pPr>
              <w:rPr>
                <w:sz w:val="18"/>
                <w:szCs w:val="18"/>
              </w:rPr>
            </w:pPr>
            <w:r>
              <w:rPr>
                <w:sz w:val="18"/>
                <w:szCs w:val="18"/>
              </w:rPr>
              <w:t> Date:  [--Insert Date--]</w:t>
            </w:r>
          </w:p>
        </w:tc>
        <w:tc>
          <w:tcPr>
            <w:tcW w:w="0" w:type="auto"/>
            <w:hideMark/>
          </w:tcPr>
          <w:p w14:paraId="0D35CF69" w14:textId="77777777" w:rsidR="007B373C" w:rsidRDefault="007B373C" w:rsidP="00203BE5">
            <w:pPr>
              <w:rPr>
                <w:sz w:val="18"/>
                <w:szCs w:val="18"/>
              </w:rPr>
            </w:pPr>
            <w:r>
              <w:rPr>
                <w:sz w:val="18"/>
                <w:szCs w:val="18"/>
              </w:rPr>
              <w:t>By: /s/ [--Insert Name--]</w:t>
            </w:r>
          </w:p>
        </w:tc>
      </w:tr>
      <w:tr w:rsidR="007B373C" w14:paraId="5CEB9963" w14:textId="77777777" w:rsidTr="00203BE5">
        <w:trPr>
          <w:tblCellSpacing w:w="0" w:type="dxa"/>
        </w:trPr>
        <w:tc>
          <w:tcPr>
            <w:tcW w:w="0" w:type="auto"/>
            <w:hideMark/>
          </w:tcPr>
          <w:p w14:paraId="35BAEE4F" w14:textId="77777777" w:rsidR="007B373C" w:rsidRDefault="007B373C" w:rsidP="00203BE5">
            <w:r>
              <w:t> </w:t>
            </w:r>
          </w:p>
        </w:tc>
        <w:tc>
          <w:tcPr>
            <w:tcW w:w="0" w:type="auto"/>
            <w:tcBorders>
              <w:top w:val="single" w:sz="6" w:space="0" w:color="000000"/>
            </w:tcBorders>
            <w:hideMark/>
          </w:tcPr>
          <w:p w14:paraId="5F550D49" w14:textId="77777777" w:rsidR="007B373C" w:rsidRDefault="007B373C" w:rsidP="00203BE5">
            <w:pPr>
              <w:rPr>
                <w:sz w:val="18"/>
                <w:szCs w:val="18"/>
              </w:rPr>
            </w:pPr>
            <w:r>
              <w:rPr>
                <w:sz w:val="18"/>
                <w:szCs w:val="18"/>
              </w:rPr>
              <w:t>[--Insert Name--]</w:t>
            </w:r>
            <w:r>
              <w:rPr>
                <w:sz w:val="18"/>
                <w:szCs w:val="18"/>
              </w:rPr>
              <w:br/>
              <w:t>[--Insert Title--]</w:t>
            </w:r>
          </w:p>
        </w:tc>
      </w:tr>
    </w:tbl>
    <w:p w14:paraId="1D3B37F7" w14:textId="77777777" w:rsidR="008C1B81" w:rsidRDefault="008C1B81" w:rsidP="00102351">
      <w:pPr>
        <w:pStyle w:val="BodyText"/>
        <w:ind w:left="3460" w:right="3360"/>
        <w:jc w:val="center"/>
      </w:pPr>
    </w:p>
    <w:sectPr w:rsidR="008C1B81" w:rsidSect="007B373C">
      <w:pgSz w:w="12240" w:h="15840"/>
      <w:pgMar w:top="1500" w:right="600" w:bottom="820" w:left="500"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3960" w14:textId="77777777" w:rsidR="006B43EC" w:rsidRDefault="006B43EC">
      <w:r>
        <w:separator/>
      </w:r>
    </w:p>
  </w:endnote>
  <w:endnote w:type="continuationSeparator" w:id="0">
    <w:p w14:paraId="66985400" w14:textId="77777777" w:rsidR="006B43EC" w:rsidRDefault="006B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3E2A" w14:textId="77777777" w:rsidR="006B43EC" w:rsidRDefault="006B43EC">
      <w:r>
        <w:separator/>
      </w:r>
    </w:p>
  </w:footnote>
  <w:footnote w:type="continuationSeparator" w:id="0">
    <w:p w14:paraId="7A9227D3" w14:textId="77777777" w:rsidR="006B43EC" w:rsidRDefault="006B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31438"/>
    <w:multiLevelType w:val="hybridMultilevel"/>
    <w:tmpl w:val="B29E0E2A"/>
    <w:lvl w:ilvl="0" w:tplc="E4D0B85A">
      <w:start w:val="1"/>
      <w:numFmt w:val="lowerLetter"/>
      <w:lvlText w:val="(%1)"/>
      <w:lvlJc w:val="left"/>
      <w:pPr>
        <w:ind w:left="219" w:hanging="381"/>
        <w:jc w:val="left"/>
      </w:pPr>
      <w:rPr>
        <w:rFonts w:ascii="Times New Roman" w:eastAsia="Times New Roman" w:hAnsi="Times New Roman" w:cs="Times New Roman" w:hint="default"/>
        <w:color w:val="231F20"/>
        <w:spacing w:val="-17"/>
        <w:w w:val="100"/>
        <w:sz w:val="20"/>
        <w:szCs w:val="20"/>
      </w:rPr>
    </w:lvl>
    <w:lvl w:ilvl="1" w:tplc="D9D68720">
      <w:numFmt w:val="bullet"/>
      <w:lvlText w:val="•"/>
      <w:lvlJc w:val="left"/>
      <w:pPr>
        <w:ind w:left="1312" w:hanging="381"/>
      </w:pPr>
      <w:rPr>
        <w:rFonts w:hint="default"/>
      </w:rPr>
    </w:lvl>
    <w:lvl w:ilvl="2" w:tplc="4C329308">
      <w:numFmt w:val="bullet"/>
      <w:lvlText w:val="•"/>
      <w:lvlJc w:val="left"/>
      <w:pPr>
        <w:ind w:left="2404" w:hanging="381"/>
      </w:pPr>
      <w:rPr>
        <w:rFonts w:hint="default"/>
      </w:rPr>
    </w:lvl>
    <w:lvl w:ilvl="3" w:tplc="264EFC96">
      <w:numFmt w:val="bullet"/>
      <w:lvlText w:val="•"/>
      <w:lvlJc w:val="left"/>
      <w:pPr>
        <w:ind w:left="3496" w:hanging="381"/>
      </w:pPr>
      <w:rPr>
        <w:rFonts w:hint="default"/>
      </w:rPr>
    </w:lvl>
    <w:lvl w:ilvl="4" w:tplc="A7A60F1A">
      <w:numFmt w:val="bullet"/>
      <w:lvlText w:val="•"/>
      <w:lvlJc w:val="left"/>
      <w:pPr>
        <w:ind w:left="4588" w:hanging="381"/>
      </w:pPr>
      <w:rPr>
        <w:rFonts w:hint="default"/>
      </w:rPr>
    </w:lvl>
    <w:lvl w:ilvl="5" w:tplc="DF348C28">
      <w:numFmt w:val="bullet"/>
      <w:lvlText w:val="•"/>
      <w:lvlJc w:val="left"/>
      <w:pPr>
        <w:ind w:left="5680" w:hanging="381"/>
      </w:pPr>
      <w:rPr>
        <w:rFonts w:hint="default"/>
      </w:rPr>
    </w:lvl>
    <w:lvl w:ilvl="6" w:tplc="5D46DDB2">
      <w:numFmt w:val="bullet"/>
      <w:lvlText w:val="•"/>
      <w:lvlJc w:val="left"/>
      <w:pPr>
        <w:ind w:left="6772" w:hanging="381"/>
      </w:pPr>
      <w:rPr>
        <w:rFonts w:hint="default"/>
      </w:rPr>
    </w:lvl>
    <w:lvl w:ilvl="7" w:tplc="AB56A4D6">
      <w:numFmt w:val="bullet"/>
      <w:lvlText w:val="•"/>
      <w:lvlJc w:val="left"/>
      <w:pPr>
        <w:ind w:left="7864" w:hanging="381"/>
      </w:pPr>
      <w:rPr>
        <w:rFonts w:hint="default"/>
      </w:rPr>
    </w:lvl>
    <w:lvl w:ilvl="8" w:tplc="46DCDA0A">
      <w:numFmt w:val="bullet"/>
      <w:lvlText w:val="•"/>
      <w:lvlJc w:val="left"/>
      <w:pPr>
        <w:ind w:left="8956" w:hanging="381"/>
      </w:pPr>
      <w:rPr>
        <w:rFonts w:hint="default"/>
      </w:rPr>
    </w:lvl>
  </w:abstractNum>
  <w:abstractNum w:abstractNumId="1" w15:restartNumberingAfterBreak="0">
    <w:nsid w:val="337F526F"/>
    <w:multiLevelType w:val="hybridMultilevel"/>
    <w:tmpl w:val="56D0F120"/>
    <w:lvl w:ilvl="0" w:tplc="1AB268CA">
      <w:start w:val="1"/>
      <w:numFmt w:val="lowerLetter"/>
      <w:lvlText w:val="(%1)"/>
      <w:lvlJc w:val="left"/>
      <w:pPr>
        <w:ind w:left="939" w:hanging="360"/>
        <w:jc w:val="left"/>
      </w:pPr>
      <w:rPr>
        <w:rFonts w:ascii="Times New Roman" w:eastAsia="Times New Roman" w:hAnsi="Times New Roman" w:cs="Times New Roman" w:hint="default"/>
        <w:color w:val="231F20"/>
        <w:spacing w:val="-12"/>
        <w:w w:val="100"/>
        <w:sz w:val="20"/>
        <w:szCs w:val="20"/>
      </w:rPr>
    </w:lvl>
    <w:lvl w:ilvl="1" w:tplc="71EABB16">
      <w:start w:val="1"/>
      <w:numFmt w:val="decimal"/>
      <w:lvlText w:val="%2."/>
      <w:lvlJc w:val="left"/>
      <w:pPr>
        <w:ind w:left="220" w:hanging="204"/>
        <w:jc w:val="left"/>
      </w:pPr>
      <w:rPr>
        <w:rFonts w:ascii="Times New Roman" w:eastAsia="Times New Roman" w:hAnsi="Times New Roman" w:cs="Times New Roman" w:hint="default"/>
        <w:color w:val="231F20"/>
        <w:w w:val="100"/>
        <w:sz w:val="20"/>
        <w:szCs w:val="20"/>
      </w:rPr>
    </w:lvl>
    <w:lvl w:ilvl="2" w:tplc="B0DA247A">
      <w:numFmt w:val="bullet"/>
      <w:lvlText w:val="•"/>
      <w:lvlJc w:val="left"/>
      <w:pPr>
        <w:ind w:left="2073" w:hanging="204"/>
      </w:pPr>
      <w:rPr>
        <w:rFonts w:hint="default"/>
      </w:rPr>
    </w:lvl>
    <w:lvl w:ilvl="3" w:tplc="CD6673F8">
      <w:numFmt w:val="bullet"/>
      <w:lvlText w:val="•"/>
      <w:lvlJc w:val="left"/>
      <w:pPr>
        <w:ind w:left="3206" w:hanging="204"/>
      </w:pPr>
      <w:rPr>
        <w:rFonts w:hint="default"/>
      </w:rPr>
    </w:lvl>
    <w:lvl w:ilvl="4" w:tplc="6D4EDC66">
      <w:numFmt w:val="bullet"/>
      <w:lvlText w:val="•"/>
      <w:lvlJc w:val="left"/>
      <w:pPr>
        <w:ind w:left="4340" w:hanging="204"/>
      </w:pPr>
      <w:rPr>
        <w:rFonts w:hint="default"/>
      </w:rPr>
    </w:lvl>
    <w:lvl w:ilvl="5" w:tplc="F65CC616">
      <w:numFmt w:val="bullet"/>
      <w:lvlText w:val="•"/>
      <w:lvlJc w:val="left"/>
      <w:pPr>
        <w:ind w:left="5473" w:hanging="204"/>
      </w:pPr>
      <w:rPr>
        <w:rFonts w:hint="default"/>
      </w:rPr>
    </w:lvl>
    <w:lvl w:ilvl="6" w:tplc="EAF66BFE">
      <w:numFmt w:val="bullet"/>
      <w:lvlText w:val="•"/>
      <w:lvlJc w:val="left"/>
      <w:pPr>
        <w:ind w:left="6606" w:hanging="204"/>
      </w:pPr>
      <w:rPr>
        <w:rFonts w:hint="default"/>
      </w:rPr>
    </w:lvl>
    <w:lvl w:ilvl="7" w:tplc="46FC9476">
      <w:numFmt w:val="bullet"/>
      <w:lvlText w:val="•"/>
      <w:lvlJc w:val="left"/>
      <w:pPr>
        <w:ind w:left="7740" w:hanging="204"/>
      </w:pPr>
      <w:rPr>
        <w:rFonts w:hint="default"/>
      </w:rPr>
    </w:lvl>
    <w:lvl w:ilvl="8" w:tplc="124A01E8">
      <w:numFmt w:val="bullet"/>
      <w:lvlText w:val="•"/>
      <w:lvlJc w:val="left"/>
      <w:pPr>
        <w:ind w:left="8873" w:hanging="204"/>
      </w:pPr>
      <w:rPr>
        <w:rFonts w:hint="default"/>
      </w:rPr>
    </w:lvl>
  </w:abstractNum>
  <w:abstractNum w:abstractNumId="2" w15:restartNumberingAfterBreak="0">
    <w:nsid w:val="35733B85"/>
    <w:multiLevelType w:val="hybridMultilevel"/>
    <w:tmpl w:val="3B34A4C8"/>
    <w:lvl w:ilvl="0" w:tplc="2B501BD8">
      <w:start w:val="1"/>
      <w:numFmt w:val="lowerLetter"/>
      <w:lvlText w:val="(%1)"/>
      <w:lvlJc w:val="left"/>
      <w:pPr>
        <w:ind w:left="940" w:hanging="360"/>
        <w:jc w:val="left"/>
      </w:pPr>
      <w:rPr>
        <w:rFonts w:ascii="Times New Roman" w:eastAsia="Times New Roman" w:hAnsi="Times New Roman" w:cs="Times New Roman" w:hint="default"/>
        <w:color w:val="231F20"/>
        <w:spacing w:val="-15"/>
        <w:w w:val="100"/>
        <w:sz w:val="20"/>
        <w:szCs w:val="20"/>
      </w:rPr>
    </w:lvl>
    <w:lvl w:ilvl="1" w:tplc="A3A0CBB8">
      <w:numFmt w:val="bullet"/>
      <w:lvlText w:val="•"/>
      <w:lvlJc w:val="left"/>
      <w:pPr>
        <w:ind w:left="1960" w:hanging="360"/>
      </w:pPr>
      <w:rPr>
        <w:rFonts w:hint="default"/>
      </w:rPr>
    </w:lvl>
    <w:lvl w:ilvl="2" w:tplc="FE34A4F2">
      <w:numFmt w:val="bullet"/>
      <w:lvlText w:val="•"/>
      <w:lvlJc w:val="left"/>
      <w:pPr>
        <w:ind w:left="2980" w:hanging="360"/>
      </w:pPr>
      <w:rPr>
        <w:rFonts w:hint="default"/>
      </w:rPr>
    </w:lvl>
    <w:lvl w:ilvl="3" w:tplc="7FCC2382">
      <w:numFmt w:val="bullet"/>
      <w:lvlText w:val="•"/>
      <w:lvlJc w:val="left"/>
      <w:pPr>
        <w:ind w:left="4000" w:hanging="360"/>
      </w:pPr>
      <w:rPr>
        <w:rFonts w:hint="default"/>
      </w:rPr>
    </w:lvl>
    <w:lvl w:ilvl="4" w:tplc="B1406CD4">
      <w:numFmt w:val="bullet"/>
      <w:lvlText w:val="•"/>
      <w:lvlJc w:val="left"/>
      <w:pPr>
        <w:ind w:left="5020" w:hanging="360"/>
      </w:pPr>
      <w:rPr>
        <w:rFonts w:hint="default"/>
      </w:rPr>
    </w:lvl>
    <w:lvl w:ilvl="5" w:tplc="88FCA010">
      <w:numFmt w:val="bullet"/>
      <w:lvlText w:val="•"/>
      <w:lvlJc w:val="left"/>
      <w:pPr>
        <w:ind w:left="6040" w:hanging="360"/>
      </w:pPr>
      <w:rPr>
        <w:rFonts w:hint="default"/>
      </w:rPr>
    </w:lvl>
    <w:lvl w:ilvl="6" w:tplc="08ECCAC4">
      <w:numFmt w:val="bullet"/>
      <w:lvlText w:val="•"/>
      <w:lvlJc w:val="left"/>
      <w:pPr>
        <w:ind w:left="7060" w:hanging="360"/>
      </w:pPr>
      <w:rPr>
        <w:rFonts w:hint="default"/>
      </w:rPr>
    </w:lvl>
    <w:lvl w:ilvl="7" w:tplc="404AE28A">
      <w:numFmt w:val="bullet"/>
      <w:lvlText w:val="•"/>
      <w:lvlJc w:val="left"/>
      <w:pPr>
        <w:ind w:left="8080" w:hanging="360"/>
      </w:pPr>
      <w:rPr>
        <w:rFonts w:hint="default"/>
      </w:rPr>
    </w:lvl>
    <w:lvl w:ilvl="8" w:tplc="6CB2887E">
      <w:numFmt w:val="bullet"/>
      <w:lvlText w:val="•"/>
      <w:lvlJc w:val="left"/>
      <w:pPr>
        <w:ind w:left="9100" w:hanging="360"/>
      </w:pPr>
      <w:rPr>
        <w:rFonts w:hint="default"/>
      </w:rPr>
    </w:lvl>
  </w:abstractNum>
  <w:num w:numId="1" w16cid:durableId="347105148">
    <w:abstractNumId w:val="0"/>
  </w:num>
  <w:num w:numId="2" w16cid:durableId="2101872711">
    <w:abstractNumId w:val="1"/>
  </w:num>
  <w:num w:numId="3" w16cid:durableId="62049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7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DOwMDQ1MLQwMjCwMDdU0lEKTi0uzszPAykwqgUATtBjBywAAAA="/>
  </w:docVars>
  <w:rsids>
    <w:rsidRoot w:val="008C1B81"/>
    <w:rsid w:val="00102351"/>
    <w:rsid w:val="005E6988"/>
    <w:rsid w:val="006B43EC"/>
    <w:rsid w:val="007B373C"/>
    <w:rsid w:val="008C1B81"/>
    <w:rsid w:val="00E0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2FC28C9A"/>
  <w15:docId w15:val="{6F016026-EFB2-44C8-A530-D9333898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right="117"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B373C"/>
    <w:pPr>
      <w:widowControl/>
      <w:autoSpaceDE/>
      <w:autoSpaceDN/>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rsid w:val="005E6988"/>
    <w:pPr>
      <w:tabs>
        <w:tab w:val="center" w:pos="4680"/>
        <w:tab w:val="right" w:pos="9360"/>
      </w:tabs>
    </w:pPr>
  </w:style>
  <w:style w:type="character" w:customStyle="1" w:styleId="HeaderChar">
    <w:name w:val="Header Char"/>
    <w:basedOn w:val="DefaultParagraphFont"/>
    <w:link w:val="Header"/>
    <w:uiPriority w:val="99"/>
    <w:rsid w:val="005E6988"/>
    <w:rPr>
      <w:rFonts w:ascii="Times New Roman" w:eastAsia="Times New Roman" w:hAnsi="Times New Roman" w:cs="Times New Roman"/>
    </w:rPr>
  </w:style>
  <w:style w:type="paragraph" w:styleId="Footer">
    <w:name w:val="footer"/>
    <w:basedOn w:val="Normal"/>
    <w:link w:val="FooterChar"/>
    <w:uiPriority w:val="99"/>
    <w:unhideWhenUsed/>
    <w:rsid w:val="005E6988"/>
    <w:pPr>
      <w:tabs>
        <w:tab w:val="center" w:pos="4680"/>
        <w:tab w:val="right" w:pos="9360"/>
      </w:tabs>
    </w:pPr>
  </w:style>
  <w:style w:type="character" w:customStyle="1" w:styleId="FooterChar">
    <w:name w:val="Footer Char"/>
    <w:basedOn w:val="DefaultParagraphFont"/>
    <w:link w:val="Footer"/>
    <w:uiPriority w:val="99"/>
    <w:rsid w:val="005E69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10-Q</dc:title>
  <dc:subject>General form for quarterly reports under Section 13 or 15(d) (PDF) </dc:subject>
  <dc:creator>U.S. Securities and Exchange Commission</dc:creator>
  <cp:keywords>Date.modified: 2019-06-20</cp:keywords>
  <cp:lastModifiedBy>Udhay</cp:lastModifiedBy>
  <cp:revision>4</cp:revision>
  <dcterms:created xsi:type="dcterms:W3CDTF">2019-06-26T07:49:00Z</dcterms:created>
  <dcterms:modified xsi:type="dcterms:W3CDTF">2023-08-17T20:28:00Z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2014-01-23T00:00:00Z</vt:filetime>
  </property>
  <property fmtid="{D5CDD505-2E9C-101B-9397-08002B2CF9AE}" pid="3" name="Creator">
    <vt:lpwstr>PScript5.dll Version 5.2.2</vt:lpwstr>
  </property>
  <property fmtid="{D5CDD505-2E9C-101B-9397-08002B2CF9AE}" pid="4" name="LastSaved">
    <vt:filetime>2019-06-26T00:00:00Z</vt:filetime>
  </property>
</Properties>
</file>